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A17" w:rsidRPr="004E4CF1" w:rsidRDefault="00A12A17" w:rsidP="00A12A17">
      <w:pPr>
        <w:jc w:val="both"/>
        <w:rPr>
          <w:rFonts w:asciiTheme="majorHAnsi" w:hAnsiTheme="majorHAnsi" w:cstheme="minorHAnsi"/>
          <w:b/>
          <w:bCs/>
          <w:sz w:val="22"/>
          <w:szCs w:val="22"/>
        </w:rPr>
      </w:pPr>
      <w:r w:rsidRPr="004E4CF1">
        <w:rPr>
          <w:rFonts w:asciiTheme="majorHAnsi" w:hAnsiTheme="majorHAnsi" w:cstheme="minorHAnsi"/>
          <w:b/>
          <w:bCs/>
          <w:noProof/>
          <w:sz w:val="22"/>
          <w:szCs w:val="22"/>
          <w:highlight w:val="yellow"/>
          <w:lang w:eastAsia="en-NZ"/>
        </w:rPr>
        <w:drawing>
          <wp:anchor distT="0" distB="0" distL="114300" distR="114300" simplePos="0" relativeHeight="251659264" behindDoc="1" locked="0" layoutInCell="1" allowOverlap="1" wp14:anchorId="50417869" wp14:editId="7AB5291C">
            <wp:simplePos x="0" y="0"/>
            <wp:positionH relativeFrom="column">
              <wp:posOffset>3604260</wp:posOffset>
            </wp:positionH>
            <wp:positionV relativeFrom="paragraph">
              <wp:posOffset>21643</wp:posOffset>
            </wp:positionV>
            <wp:extent cx="1895475" cy="375867"/>
            <wp:effectExtent l="0" t="0" r="0" b="5715"/>
            <wp:wrapNone/>
            <wp:docPr id="7" name="Picture 7" descr="property 2010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perty 2010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892" cy="3886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4CF1">
        <w:rPr>
          <w:rFonts w:asciiTheme="majorHAnsi" w:hAnsiTheme="majorHAnsi" w:cstheme="minorHAnsi"/>
          <w:b/>
          <w:bCs/>
          <w:sz w:val="22"/>
          <w:szCs w:val="22"/>
        </w:rPr>
        <w:t xml:space="preserve">Media Release </w:t>
      </w:r>
    </w:p>
    <w:p w:rsidR="00A12A17" w:rsidRPr="004E4CF1" w:rsidRDefault="00A33F41" w:rsidP="00A12A17">
      <w:pPr>
        <w:tabs>
          <w:tab w:val="left" w:pos="6585"/>
        </w:tabs>
        <w:jc w:val="both"/>
        <w:rPr>
          <w:rFonts w:asciiTheme="majorHAnsi" w:hAnsiTheme="majorHAnsi" w:cstheme="minorHAnsi"/>
          <w:b/>
          <w:bCs/>
          <w:sz w:val="22"/>
          <w:szCs w:val="22"/>
        </w:rPr>
      </w:pPr>
      <w:r>
        <w:rPr>
          <w:rFonts w:asciiTheme="majorHAnsi" w:hAnsiTheme="majorHAnsi" w:cstheme="minorHAnsi"/>
          <w:b/>
          <w:bCs/>
          <w:sz w:val="22"/>
          <w:szCs w:val="22"/>
        </w:rPr>
        <w:t>15</w:t>
      </w:r>
      <w:bookmarkStart w:id="0" w:name="_GoBack"/>
      <w:bookmarkEnd w:id="0"/>
      <w:r w:rsidRPr="004E4CF1">
        <w:rPr>
          <w:rFonts w:asciiTheme="majorHAnsi" w:hAnsiTheme="majorHAnsi" w:cstheme="minorHAnsi"/>
          <w:b/>
          <w:bCs/>
          <w:sz w:val="22"/>
          <w:szCs w:val="22"/>
        </w:rPr>
        <w:t xml:space="preserve"> </w:t>
      </w:r>
      <w:r w:rsidR="00A12A17" w:rsidRPr="004E4CF1">
        <w:rPr>
          <w:rFonts w:asciiTheme="majorHAnsi" w:hAnsiTheme="majorHAnsi" w:cstheme="minorHAnsi"/>
          <w:b/>
          <w:bCs/>
          <w:sz w:val="22"/>
          <w:szCs w:val="22"/>
        </w:rPr>
        <w:t>December 2014</w:t>
      </w:r>
      <w:r w:rsidR="00A12A17" w:rsidRPr="004E4CF1">
        <w:rPr>
          <w:rFonts w:asciiTheme="majorHAnsi" w:hAnsiTheme="majorHAnsi" w:cstheme="minorHAnsi"/>
          <w:b/>
          <w:bCs/>
          <w:sz w:val="22"/>
          <w:szCs w:val="22"/>
        </w:rPr>
        <w:tab/>
      </w:r>
    </w:p>
    <w:p w:rsidR="009B6A01" w:rsidRPr="004E4CF1" w:rsidRDefault="009B6A01" w:rsidP="009B6A01">
      <w:pPr>
        <w:jc w:val="both"/>
        <w:rPr>
          <w:rFonts w:asciiTheme="majorHAnsi" w:hAnsiTheme="majorHAnsi"/>
          <w:sz w:val="22"/>
          <w:szCs w:val="22"/>
        </w:rPr>
      </w:pPr>
    </w:p>
    <w:p w:rsidR="006E1AA6" w:rsidRPr="004E4CF1" w:rsidRDefault="006E1AA6" w:rsidP="009B6A01">
      <w:pPr>
        <w:jc w:val="both"/>
        <w:rPr>
          <w:rFonts w:asciiTheme="majorHAnsi" w:hAnsiTheme="majorHAnsi"/>
          <w:sz w:val="22"/>
          <w:szCs w:val="22"/>
        </w:rPr>
      </w:pPr>
    </w:p>
    <w:p w:rsidR="006E1AA6" w:rsidRPr="004E4CF1" w:rsidRDefault="006E1AA6" w:rsidP="00A12A17">
      <w:pPr>
        <w:jc w:val="center"/>
        <w:rPr>
          <w:rFonts w:asciiTheme="majorHAnsi" w:hAnsiTheme="majorHAnsi"/>
          <w:b/>
          <w:sz w:val="40"/>
          <w:szCs w:val="40"/>
        </w:rPr>
      </w:pPr>
      <w:r w:rsidRPr="004E4CF1">
        <w:rPr>
          <w:rFonts w:asciiTheme="majorHAnsi" w:hAnsiTheme="majorHAnsi"/>
          <w:b/>
          <w:sz w:val="40"/>
          <w:szCs w:val="40"/>
        </w:rPr>
        <w:t>Property rents plateau in November</w:t>
      </w:r>
    </w:p>
    <w:p w:rsidR="006E1AA6" w:rsidRPr="004E4CF1" w:rsidRDefault="006E1AA6" w:rsidP="009B6A01">
      <w:pPr>
        <w:jc w:val="both"/>
        <w:rPr>
          <w:rFonts w:asciiTheme="majorHAnsi" w:hAnsiTheme="majorHAnsi"/>
          <w:sz w:val="22"/>
          <w:szCs w:val="22"/>
        </w:rPr>
      </w:pPr>
    </w:p>
    <w:p w:rsidR="00A12A17" w:rsidRPr="004E4CF1" w:rsidRDefault="006E1AA6" w:rsidP="009B6A01">
      <w:pPr>
        <w:jc w:val="both"/>
        <w:rPr>
          <w:rFonts w:asciiTheme="majorHAnsi" w:hAnsiTheme="majorHAnsi"/>
          <w:sz w:val="22"/>
          <w:szCs w:val="22"/>
        </w:rPr>
      </w:pPr>
      <w:r w:rsidRPr="004E4CF1">
        <w:rPr>
          <w:rFonts w:asciiTheme="majorHAnsi" w:hAnsiTheme="majorHAnsi"/>
          <w:sz w:val="22"/>
          <w:szCs w:val="22"/>
        </w:rPr>
        <w:t xml:space="preserve">The median </w:t>
      </w:r>
      <w:r w:rsidR="00A12A17" w:rsidRPr="004E4CF1">
        <w:rPr>
          <w:rFonts w:asciiTheme="majorHAnsi" w:hAnsiTheme="majorHAnsi"/>
          <w:sz w:val="22"/>
          <w:szCs w:val="22"/>
        </w:rPr>
        <w:t xml:space="preserve">national </w:t>
      </w:r>
      <w:r w:rsidRPr="004E4CF1">
        <w:rPr>
          <w:rFonts w:asciiTheme="majorHAnsi" w:hAnsiTheme="majorHAnsi"/>
          <w:sz w:val="22"/>
          <w:szCs w:val="22"/>
        </w:rPr>
        <w:t>rent</w:t>
      </w:r>
      <w:r w:rsidR="00A12A17" w:rsidRPr="004E4CF1">
        <w:rPr>
          <w:rFonts w:asciiTheme="majorHAnsi" w:hAnsiTheme="majorHAnsi"/>
          <w:sz w:val="22"/>
          <w:szCs w:val="22"/>
        </w:rPr>
        <w:t xml:space="preserve"> was unchanged at $400 per week</w:t>
      </w:r>
      <w:r w:rsidRPr="004E4CF1">
        <w:rPr>
          <w:rFonts w:asciiTheme="majorHAnsi" w:hAnsiTheme="majorHAnsi"/>
          <w:sz w:val="22"/>
          <w:szCs w:val="22"/>
        </w:rPr>
        <w:t xml:space="preserve"> in November</w:t>
      </w:r>
      <w:r w:rsidR="00A12A17" w:rsidRPr="004E4CF1">
        <w:rPr>
          <w:rFonts w:asciiTheme="majorHAnsi" w:hAnsiTheme="majorHAnsi"/>
          <w:sz w:val="22"/>
          <w:szCs w:val="22"/>
        </w:rPr>
        <w:t xml:space="preserve">, but is up more than 5 per cent since November 2013, according to the Trade Me Property Rental Index out today. </w:t>
      </w:r>
    </w:p>
    <w:p w:rsidR="00A12A17" w:rsidRPr="004E4CF1" w:rsidRDefault="00A12A17" w:rsidP="009B6A01">
      <w:pPr>
        <w:jc w:val="both"/>
        <w:rPr>
          <w:rFonts w:asciiTheme="majorHAnsi" w:hAnsiTheme="majorHAnsi"/>
          <w:sz w:val="22"/>
          <w:szCs w:val="22"/>
        </w:rPr>
      </w:pPr>
    </w:p>
    <w:p w:rsidR="00A12A17" w:rsidRPr="004E4CF1" w:rsidRDefault="00A12A17" w:rsidP="00A12A17">
      <w:pPr>
        <w:jc w:val="both"/>
        <w:rPr>
          <w:rFonts w:asciiTheme="majorHAnsi" w:hAnsiTheme="majorHAnsi"/>
          <w:sz w:val="22"/>
          <w:szCs w:val="22"/>
        </w:rPr>
      </w:pPr>
      <w:r w:rsidRPr="004E4CF1">
        <w:rPr>
          <w:rFonts w:asciiTheme="majorHAnsi" w:hAnsiTheme="majorHAnsi"/>
          <w:sz w:val="22"/>
          <w:szCs w:val="22"/>
        </w:rPr>
        <w:t>Head of Trade Me Property Nigel Jeffries</w:t>
      </w:r>
      <w:r w:rsidR="006E1AA6" w:rsidRPr="004E4CF1">
        <w:rPr>
          <w:rFonts w:asciiTheme="majorHAnsi" w:hAnsiTheme="majorHAnsi"/>
          <w:sz w:val="22"/>
          <w:szCs w:val="22"/>
        </w:rPr>
        <w:t xml:space="preserve"> </w:t>
      </w:r>
      <w:r w:rsidRPr="004E4CF1">
        <w:rPr>
          <w:rFonts w:asciiTheme="majorHAnsi" w:hAnsiTheme="majorHAnsi"/>
          <w:sz w:val="22"/>
          <w:szCs w:val="22"/>
        </w:rPr>
        <w:t>said the median weekly rent had been “stuck in the mud” for four consecutive months. “</w:t>
      </w:r>
      <w:r w:rsidR="006E1AA6" w:rsidRPr="004E4CF1">
        <w:rPr>
          <w:rFonts w:asciiTheme="majorHAnsi" w:hAnsiTheme="majorHAnsi"/>
          <w:sz w:val="22"/>
          <w:szCs w:val="22"/>
        </w:rPr>
        <w:t>Th</w:t>
      </w:r>
      <w:r w:rsidRPr="004E4CF1">
        <w:rPr>
          <w:rFonts w:asciiTheme="majorHAnsi" w:hAnsiTheme="majorHAnsi"/>
          <w:sz w:val="22"/>
          <w:szCs w:val="22"/>
        </w:rPr>
        <w:t xml:space="preserve">ere’s </w:t>
      </w:r>
      <w:r w:rsidR="006E1AA6" w:rsidRPr="004E4CF1">
        <w:rPr>
          <w:rFonts w:asciiTheme="majorHAnsi" w:hAnsiTheme="majorHAnsi"/>
          <w:sz w:val="22"/>
          <w:szCs w:val="22"/>
        </w:rPr>
        <w:t xml:space="preserve">less price pressure </w:t>
      </w:r>
      <w:r w:rsidRPr="004E4CF1">
        <w:rPr>
          <w:rFonts w:asciiTheme="majorHAnsi" w:hAnsiTheme="majorHAnsi"/>
          <w:sz w:val="22"/>
          <w:szCs w:val="22"/>
        </w:rPr>
        <w:t xml:space="preserve">on tenants and </w:t>
      </w:r>
      <w:r w:rsidR="006E1AA6" w:rsidRPr="004E4CF1">
        <w:rPr>
          <w:rFonts w:asciiTheme="majorHAnsi" w:hAnsiTheme="majorHAnsi"/>
          <w:sz w:val="22"/>
          <w:szCs w:val="22"/>
        </w:rPr>
        <w:t>a healthy supply of properties for rent</w:t>
      </w:r>
      <w:r w:rsidRPr="004E4CF1">
        <w:rPr>
          <w:rFonts w:asciiTheme="majorHAnsi" w:hAnsiTheme="majorHAnsi"/>
          <w:sz w:val="22"/>
          <w:szCs w:val="22"/>
        </w:rPr>
        <w:t xml:space="preserve"> in many areas</w:t>
      </w:r>
      <w:r w:rsidR="006E1AA6" w:rsidRPr="004E4CF1">
        <w:rPr>
          <w:rFonts w:asciiTheme="majorHAnsi" w:hAnsiTheme="majorHAnsi"/>
          <w:sz w:val="22"/>
          <w:szCs w:val="22"/>
        </w:rPr>
        <w:t>.</w:t>
      </w:r>
      <w:r w:rsidRPr="004E4CF1">
        <w:rPr>
          <w:rFonts w:asciiTheme="majorHAnsi" w:hAnsiTheme="majorHAnsi"/>
          <w:sz w:val="22"/>
          <w:szCs w:val="22"/>
        </w:rPr>
        <w:t xml:space="preserve"> Although the weekly rent is holding steady at $400 per week, the year-on-year increases are </w:t>
      </w:r>
      <w:r w:rsidR="006E1AA6" w:rsidRPr="004E4CF1">
        <w:rPr>
          <w:rFonts w:asciiTheme="majorHAnsi" w:hAnsiTheme="majorHAnsi"/>
          <w:sz w:val="22"/>
          <w:szCs w:val="22"/>
        </w:rPr>
        <w:t>trending down</w:t>
      </w:r>
      <w:r w:rsidRPr="004E4CF1">
        <w:rPr>
          <w:rFonts w:asciiTheme="majorHAnsi" w:hAnsiTheme="majorHAnsi"/>
          <w:sz w:val="22"/>
          <w:szCs w:val="22"/>
        </w:rPr>
        <w:t>.”</w:t>
      </w:r>
    </w:p>
    <w:p w:rsidR="006E1AA6" w:rsidRPr="004E4CF1" w:rsidRDefault="006E1AA6" w:rsidP="009B6A01">
      <w:pPr>
        <w:jc w:val="both"/>
        <w:rPr>
          <w:rFonts w:asciiTheme="majorHAnsi" w:hAnsiTheme="majorHAnsi"/>
          <w:sz w:val="22"/>
          <w:szCs w:val="22"/>
        </w:rPr>
      </w:pPr>
    </w:p>
    <w:p w:rsidR="00A12A17" w:rsidRPr="004E4CF1" w:rsidRDefault="00A12A17" w:rsidP="009B6A01">
      <w:pPr>
        <w:jc w:val="both"/>
        <w:rPr>
          <w:rFonts w:asciiTheme="majorHAnsi" w:hAnsiTheme="majorHAnsi"/>
          <w:sz w:val="22"/>
          <w:szCs w:val="22"/>
        </w:rPr>
      </w:pPr>
      <w:r w:rsidRPr="004E4CF1">
        <w:rPr>
          <w:rFonts w:asciiTheme="majorHAnsi" w:hAnsiTheme="majorHAnsi"/>
          <w:sz w:val="22"/>
          <w:szCs w:val="22"/>
        </w:rPr>
        <w:t xml:space="preserve">He said the </w:t>
      </w:r>
      <w:r w:rsidR="00F854A7" w:rsidRPr="004E4CF1">
        <w:rPr>
          <w:rFonts w:asciiTheme="majorHAnsi" w:hAnsiTheme="majorHAnsi"/>
          <w:sz w:val="22"/>
          <w:szCs w:val="22"/>
        </w:rPr>
        <w:t xml:space="preserve">rental sector </w:t>
      </w:r>
      <w:r w:rsidRPr="004E4CF1">
        <w:rPr>
          <w:rFonts w:asciiTheme="majorHAnsi" w:hAnsiTheme="majorHAnsi"/>
          <w:sz w:val="22"/>
          <w:szCs w:val="22"/>
        </w:rPr>
        <w:t xml:space="preserve">was </w:t>
      </w:r>
      <w:r w:rsidR="00F854A7" w:rsidRPr="004E4CF1">
        <w:rPr>
          <w:rFonts w:asciiTheme="majorHAnsi" w:hAnsiTheme="majorHAnsi"/>
          <w:sz w:val="22"/>
          <w:szCs w:val="22"/>
        </w:rPr>
        <w:t>quietening</w:t>
      </w:r>
      <w:r w:rsidRPr="004E4CF1">
        <w:rPr>
          <w:rFonts w:asciiTheme="majorHAnsi" w:hAnsiTheme="majorHAnsi"/>
          <w:sz w:val="22"/>
          <w:szCs w:val="22"/>
        </w:rPr>
        <w:t xml:space="preserve">, at the same time as asking </w:t>
      </w:r>
      <w:r w:rsidR="00F854A7" w:rsidRPr="004E4CF1">
        <w:rPr>
          <w:rFonts w:asciiTheme="majorHAnsi" w:hAnsiTheme="majorHAnsi"/>
          <w:sz w:val="22"/>
          <w:szCs w:val="22"/>
        </w:rPr>
        <w:t>prices for residential property</w:t>
      </w:r>
      <w:r w:rsidR="00C40D82" w:rsidRPr="004E4CF1">
        <w:rPr>
          <w:rFonts w:asciiTheme="majorHAnsi" w:hAnsiTheme="majorHAnsi"/>
          <w:sz w:val="22"/>
          <w:szCs w:val="22"/>
        </w:rPr>
        <w:t xml:space="preserve"> sales</w:t>
      </w:r>
      <w:r w:rsidR="00F854A7" w:rsidRPr="004E4CF1">
        <w:rPr>
          <w:rFonts w:asciiTheme="majorHAnsi" w:hAnsiTheme="majorHAnsi"/>
          <w:sz w:val="22"/>
          <w:szCs w:val="22"/>
        </w:rPr>
        <w:t xml:space="preserve"> </w:t>
      </w:r>
      <w:r w:rsidRPr="004E4CF1">
        <w:rPr>
          <w:rFonts w:asciiTheme="majorHAnsi" w:hAnsiTheme="majorHAnsi"/>
          <w:sz w:val="22"/>
          <w:szCs w:val="22"/>
        </w:rPr>
        <w:t xml:space="preserve">were </w:t>
      </w:r>
      <w:r w:rsidR="00F854A7" w:rsidRPr="004E4CF1">
        <w:rPr>
          <w:rFonts w:asciiTheme="majorHAnsi" w:hAnsiTheme="majorHAnsi"/>
          <w:sz w:val="22"/>
          <w:szCs w:val="22"/>
        </w:rPr>
        <w:t>emerg</w:t>
      </w:r>
      <w:r w:rsidRPr="004E4CF1">
        <w:rPr>
          <w:rFonts w:asciiTheme="majorHAnsi" w:hAnsiTheme="majorHAnsi"/>
          <w:sz w:val="22"/>
          <w:szCs w:val="22"/>
        </w:rPr>
        <w:t xml:space="preserve">ing </w:t>
      </w:r>
      <w:r w:rsidR="00F854A7" w:rsidRPr="004E4CF1">
        <w:rPr>
          <w:rFonts w:asciiTheme="majorHAnsi" w:hAnsiTheme="majorHAnsi"/>
          <w:sz w:val="22"/>
          <w:szCs w:val="22"/>
        </w:rPr>
        <w:t xml:space="preserve">from a winter </w:t>
      </w:r>
      <w:r w:rsidRPr="004E4CF1">
        <w:rPr>
          <w:rFonts w:asciiTheme="majorHAnsi" w:hAnsiTheme="majorHAnsi"/>
          <w:sz w:val="22"/>
          <w:szCs w:val="22"/>
        </w:rPr>
        <w:t>slump.</w:t>
      </w:r>
    </w:p>
    <w:p w:rsidR="00A12A17" w:rsidRPr="004E4CF1" w:rsidRDefault="00A12A17" w:rsidP="009B6A01">
      <w:pPr>
        <w:jc w:val="both"/>
        <w:rPr>
          <w:rFonts w:asciiTheme="majorHAnsi" w:hAnsiTheme="majorHAnsi"/>
          <w:sz w:val="22"/>
          <w:szCs w:val="22"/>
        </w:rPr>
      </w:pPr>
    </w:p>
    <w:p w:rsidR="006E1AA6" w:rsidRPr="004E4CF1" w:rsidRDefault="006E1AA6" w:rsidP="009B6A01">
      <w:pPr>
        <w:jc w:val="both"/>
        <w:rPr>
          <w:rFonts w:asciiTheme="majorHAnsi" w:hAnsiTheme="majorHAnsi"/>
          <w:sz w:val="22"/>
          <w:szCs w:val="22"/>
        </w:rPr>
      </w:pPr>
    </w:p>
    <w:p w:rsidR="006E1AA6" w:rsidRPr="004E4CF1" w:rsidRDefault="009B6A01" w:rsidP="00A12A17">
      <w:pPr>
        <w:jc w:val="center"/>
        <w:rPr>
          <w:rFonts w:asciiTheme="majorHAnsi" w:hAnsiTheme="majorHAnsi"/>
          <w:sz w:val="22"/>
          <w:szCs w:val="22"/>
        </w:rPr>
      </w:pPr>
      <w:r w:rsidRPr="004E4CF1">
        <w:rPr>
          <w:rFonts w:asciiTheme="majorHAnsi" w:hAnsiTheme="majorHAnsi"/>
          <w:noProof/>
          <w:sz w:val="22"/>
          <w:szCs w:val="22"/>
          <w:lang w:eastAsia="en-NZ"/>
        </w:rPr>
        <w:drawing>
          <wp:inline distT="0" distB="0" distL="0" distR="0" wp14:anchorId="66BB3555" wp14:editId="36F9EA4D">
            <wp:extent cx="5135467" cy="2574290"/>
            <wp:effectExtent l="0" t="0" r="8255" b="0"/>
            <wp:docPr id="2" name="Picture 2" descr="C:\Users\ahelm\AppData\Local\Temp\Temp1_Rental Price Index_December2014.zip\01-Monthly-Change-Oct-2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helm\AppData\Local\Temp\Temp1_Rental Price Index_December2014.zip\01-Monthly-Change-Oct-201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054" cy="25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AA6" w:rsidRPr="004E4CF1" w:rsidRDefault="006E1AA6" w:rsidP="009B6A01">
      <w:pPr>
        <w:jc w:val="both"/>
        <w:rPr>
          <w:rFonts w:asciiTheme="majorHAnsi" w:hAnsiTheme="majorHAnsi"/>
          <w:sz w:val="22"/>
          <w:szCs w:val="22"/>
        </w:rPr>
      </w:pPr>
    </w:p>
    <w:p w:rsidR="006E1AA6" w:rsidRPr="004E4CF1" w:rsidRDefault="006E1AA6" w:rsidP="009B6A01">
      <w:pPr>
        <w:jc w:val="both"/>
        <w:rPr>
          <w:rFonts w:asciiTheme="majorHAnsi" w:hAnsiTheme="majorHAnsi"/>
          <w:sz w:val="22"/>
          <w:szCs w:val="22"/>
        </w:rPr>
      </w:pPr>
    </w:p>
    <w:p w:rsidR="006E1AA6" w:rsidRPr="004E4CF1" w:rsidRDefault="006E1AA6" w:rsidP="009B6A01">
      <w:pPr>
        <w:jc w:val="both"/>
        <w:rPr>
          <w:rFonts w:asciiTheme="majorHAnsi" w:hAnsiTheme="majorHAnsi"/>
          <w:sz w:val="22"/>
          <w:szCs w:val="22"/>
        </w:rPr>
      </w:pPr>
    </w:p>
    <w:p w:rsidR="006E1AA6" w:rsidRPr="004E4CF1" w:rsidRDefault="006E1AA6" w:rsidP="009B6A01">
      <w:pPr>
        <w:jc w:val="both"/>
        <w:rPr>
          <w:rFonts w:asciiTheme="majorHAnsi" w:hAnsiTheme="majorHAnsi"/>
          <w:b/>
          <w:sz w:val="22"/>
          <w:szCs w:val="22"/>
        </w:rPr>
      </w:pPr>
      <w:r w:rsidRPr="004E4CF1">
        <w:rPr>
          <w:rFonts w:asciiTheme="majorHAnsi" w:hAnsiTheme="majorHAnsi"/>
          <w:b/>
          <w:sz w:val="22"/>
          <w:szCs w:val="22"/>
        </w:rPr>
        <w:t xml:space="preserve">Rents </w:t>
      </w:r>
      <w:r w:rsidR="009B6A01" w:rsidRPr="004E4CF1">
        <w:rPr>
          <w:rFonts w:asciiTheme="majorHAnsi" w:hAnsiTheme="majorHAnsi"/>
          <w:b/>
          <w:sz w:val="22"/>
          <w:szCs w:val="22"/>
        </w:rPr>
        <w:t>growth slows compared to prior years</w:t>
      </w:r>
    </w:p>
    <w:p w:rsidR="006E1AA6" w:rsidRPr="004E4CF1" w:rsidRDefault="006E1AA6" w:rsidP="009B6A01">
      <w:pPr>
        <w:jc w:val="both"/>
        <w:rPr>
          <w:rFonts w:asciiTheme="majorHAnsi" w:hAnsiTheme="majorHAnsi"/>
          <w:sz w:val="22"/>
          <w:szCs w:val="22"/>
        </w:rPr>
      </w:pPr>
    </w:p>
    <w:p w:rsidR="006E1AA6" w:rsidRPr="004E4CF1" w:rsidRDefault="00A12A17" w:rsidP="009B6A01">
      <w:pPr>
        <w:jc w:val="both"/>
        <w:rPr>
          <w:rFonts w:asciiTheme="majorHAnsi" w:hAnsiTheme="majorHAnsi"/>
          <w:sz w:val="22"/>
          <w:szCs w:val="22"/>
        </w:rPr>
      </w:pPr>
      <w:r w:rsidRPr="004E4CF1">
        <w:rPr>
          <w:rFonts w:asciiTheme="majorHAnsi" w:hAnsiTheme="majorHAnsi"/>
          <w:sz w:val="22"/>
          <w:szCs w:val="22"/>
        </w:rPr>
        <w:t>Looking at the long-</w:t>
      </w:r>
      <w:r w:rsidR="006E1AA6" w:rsidRPr="004E4CF1">
        <w:rPr>
          <w:rFonts w:asciiTheme="majorHAnsi" w:hAnsiTheme="majorHAnsi"/>
          <w:sz w:val="22"/>
          <w:szCs w:val="22"/>
        </w:rPr>
        <w:t>term trend</w:t>
      </w:r>
      <w:r w:rsidRPr="004E4CF1">
        <w:rPr>
          <w:rFonts w:asciiTheme="majorHAnsi" w:hAnsiTheme="majorHAnsi"/>
          <w:sz w:val="22"/>
          <w:szCs w:val="22"/>
        </w:rPr>
        <w:t xml:space="preserve">, growth in median weekly rents is dominated by the period between 2011 and 2014, despite </w:t>
      </w:r>
      <w:r w:rsidR="006E1AA6" w:rsidRPr="004E4CF1">
        <w:rPr>
          <w:rFonts w:asciiTheme="majorHAnsi" w:hAnsiTheme="majorHAnsi"/>
          <w:sz w:val="22"/>
          <w:szCs w:val="22"/>
        </w:rPr>
        <w:t>the p</w:t>
      </w:r>
      <w:r w:rsidRPr="004E4CF1">
        <w:rPr>
          <w:rFonts w:asciiTheme="majorHAnsi" w:hAnsiTheme="majorHAnsi"/>
          <w:sz w:val="22"/>
          <w:szCs w:val="22"/>
        </w:rPr>
        <w:t>lateau in the p</w:t>
      </w:r>
      <w:r w:rsidR="006E1AA6" w:rsidRPr="004E4CF1">
        <w:rPr>
          <w:rFonts w:asciiTheme="majorHAnsi" w:hAnsiTheme="majorHAnsi"/>
          <w:sz w:val="22"/>
          <w:szCs w:val="22"/>
        </w:rPr>
        <w:t>ast six months</w:t>
      </w:r>
      <w:r w:rsidRPr="004E4CF1">
        <w:rPr>
          <w:rFonts w:asciiTheme="majorHAnsi" w:hAnsiTheme="majorHAnsi"/>
          <w:sz w:val="22"/>
          <w:szCs w:val="22"/>
        </w:rPr>
        <w:t xml:space="preserve">. Since 2009, the median weekly rent has </w:t>
      </w:r>
      <w:r w:rsidR="006E1AA6" w:rsidRPr="004E4CF1">
        <w:rPr>
          <w:rFonts w:asciiTheme="majorHAnsi" w:hAnsiTheme="majorHAnsi"/>
          <w:sz w:val="22"/>
          <w:szCs w:val="22"/>
        </w:rPr>
        <w:t xml:space="preserve">risen by </w:t>
      </w:r>
      <w:r w:rsidRPr="004E4CF1">
        <w:rPr>
          <w:rFonts w:asciiTheme="majorHAnsi" w:hAnsiTheme="majorHAnsi"/>
          <w:sz w:val="22"/>
          <w:szCs w:val="22"/>
        </w:rPr>
        <w:t xml:space="preserve">more than </w:t>
      </w:r>
      <w:r w:rsidR="006E1AA6" w:rsidRPr="004E4CF1">
        <w:rPr>
          <w:rFonts w:asciiTheme="majorHAnsi" w:hAnsiTheme="majorHAnsi"/>
          <w:sz w:val="22"/>
          <w:szCs w:val="22"/>
        </w:rPr>
        <w:t>21 per cent. This compares with a 2</w:t>
      </w:r>
      <w:r w:rsidRPr="004E4CF1">
        <w:rPr>
          <w:rFonts w:asciiTheme="majorHAnsi" w:hAnsiTheme="majorHAnsi"/>
          <w:sz w:val="22"/>
          <w:szCs w:val="22"/>
        </w:rPr>
        <w:t>8</w:t>
      </w:r>
      <w:r w:rsidR="006E1AA6" w:rsidRPr="004E4CF1">
        <w:rPr>
          <w:rFonts w:asciiTheme="majorHAnsi" w:hAnsiTheme="majorHAnsi"/>
          <w:sz w:val="22"/>
          <w:szCs w:val="22"/>
        </w:rPr>
        <w:t xml:space="preserve"> per cent increase in </w:t>
      </w:r>
      <w:r w:rsidRPr="004E4CF1">
        <w:rPr>
          <w:rFonts w:asciiTheme="majorHAnsi" w:hAnsiTheme="majorHAnsi"/>
          <w:sz w:val="22"/>
          <w:szCs w:val="22"/>
        </w:rPr>
        <w:t xml:space="preserve">average asking </w:t>
      </w:r>
      <w:r w:rsidR="006E1AA6" w:rsidRPr="004E4CF1">
        <w:rPr>
          <w:rFonts w:asciiTheme="majorHAnsi" w:hAnsiTheme="majorHAnsi"/>
          <w:sz w:val="22"/>
          <w:szCs w:val="22"/>
        </w:rPr>
        <w:t xml:space="preserve">prices </w:t>
      </w:r>
      <w:r w:rsidRPr="004E4CF1">
        <w:rPr>
          <w:rFonts w:asciiTheme="majorHAnsi" w:hAnsiTheme="majorHAnsi"/>
          <w:sz w:val="22"/>
          <w:szCs w:val="22"/>
        </w:rPr>
        <w:t xml:space="preserve">for residential properties </w:t>
      </w:r>
      <w:r w:rsidR="006E1AA6" w:rsidRPr="004E4CF1">
        <w:rPr>
          <w:rFonts w:asciiTheme="majorHAnsi" w:hAnsiTheme="majorHAnsi"/>
          <w:sz w:val="22"/>
          <w:szCs w:val="22"/>
        </w:rPr>
        <w:t>over the same period.</w:t>
      </w:r>
    </w:p>
    <w:p w:rsidR="006E1AA6" w:rsidRPr="004E4CF1" w:rsidRDefault="006E1AA6" w:rsidP="009B6A01">
      <w:pPr>
        <w:jc w:val="both"/>
        <w:rPr>
          <w:rFonts w:asciiTheme="majorHAnsi" w:hAnsiTheme="majorHAnsi"/>
          <w:sz w:val="22"/>
          <w:szCs w:val="22"/>
        </w:rPr>
      </w:pPr>
      <w:r w:rsidRPr="004E4CF1">
        <w:rPr>
          <w:rFonts w:asciiTheme="majorHAnsi" w:hAnsiTheme="majorHAnsi"/>
          <w:sz w:val="22"/>
          <w:szCs w:val="22"/>
        </w:rPr>
        <w:t xml:space="preserve">  </w:t>
      </w:r>
    </w:p>
    <w:p w:rsidR="006E1AA6" w:rsidRPr="004E4CF1" w:rsidRDefault="009B6A01" w:rsidP="00A12A17">
      <w:pPr>
        <w:jc w:val="center"/>
        <w:rPr>
          <w:rFonts w:asciiTheme="majorHAnsi" w:hAnsiTheme="majorHAnsi"/>
          <w:sz w:val="22"/>
          <w:szCs w:val="22"/>
        </w:rPr>
      </w:pPr>
      <w:r w:rsidRPr="004E4CF1">
        <w:rPr>
          <w:rFonts w:asciiTheme="majorHAnsi" w:hAnsiTheme="majorHAnsi"/>
          <w:noProof/>
          <w:sz w:val="22"/>
          <w:szCs w:val="22"/>
          <w:lang w:eastAsia="en-NZ"/>
        </w:rPr>
        <w:lastRenderedPageBreak/>
        <w:drawing>
          <wp:inline distT="0" distB="0" distL="0" distR="0" wp14:anchorId="2C9E5F72" wp14:editId="52C0593A">
            <wp:extent cx="4663597" cy="2345690"/>
            <wp:effectExtent l="0" t="0" r="3810" b="0"/>
            <wp:docPr id="3" name="Picture 3" descr="C:\Users\ahelm\AppData\Local\Temp\Temp1_Rental Price Index_December2014.zip\02-5-Year-Increase-Oct-2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helm\AppData\Local\Temp\Temp1_Rental Price Index_December2014.zip\02-5-Year-Increase-Oct-2014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111" cy="2351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AA6" w:rsidRPr="004E4CF1" w:rsidRDefault="006E1AA6" w:rsidP="009B6A01">
      <w:pPr>
        <w:jc w:val="both"/>
        <w:rPr>
          <w:rFonts w:asciiTheme="majorHAnsi" w:hAnsiTheme="majorHAnsi"/>
          <w:sz w:val="22"/>
          <w:szCs w:val="22"/>
        </w:rPr>
      </w:pPr>
    </w:p>
    <w:p w:rsidR="009B6A01" w:rsidRPr="004E4CF1" w:rsidRDefault="009B6A01" w:rsidP="009B6A01">
      <w:pPr>
        <w:jc w:val="both"/>
        <w:rPr>
          <w:rFonts w:asciiTheme="majorHAnsi" w:hAnsiTheme="majorHAnsi"/>
          <w:sz w:val="22"/>
          <w:szCs w:val="22"/>
        </w:rPr>
      </w:pPr>
    </w:p>
    <w:p w:rsidR="006E1AA6" w:rsidRPr="004E4CF1" w:rsidRDefault="006E1AA6" w:rsidP="009B6A01">
      <w:pPr>
        <w:jc w:val="both"/>
        <w:rPr>
          <w:rFonts w:asciiTheme="majorHAnsi" w:hAnsiTheme="majorHAnsi"/>
          <w:b/>
          <w:sz w:val="22"/>
          <w:szCs w:val="22"/>
        </w:rPr>
      </w:pPr>
      <w:r w:rsidRPr="004E4CF1">
        <w:rPr>
          <w:rFonts w:asciiTheme="majorHAnsi" w:hAnsiTheme="majorHAnsi"/>
          <w:b/>
          <w:sz w:val="22"/>
          <w:szCs w:val="22"/>
        </w:rPr>
        <w:t>Ups and downs across the regions</w:t>
      </w:r>
    </w:p>
    <w:p w:rsidR="006E1AA6" w:rsidRPr="004E4CF1" w:rsidRDefault="006E1AA6" w:rsidP="009B6A01">
      <w:pPr>
        <w:jc w:val="both"/>
        <w:rPr>
          <w:rFonts w:asciiTheme="majorHAnsi" w:hAnsiTheme="majorHAnsi"/>
          <w:sz w:val="22"/>
          <w:szCs w:val="22"/>
        </w:rPr>
      </w:pPr>
    </w:p>
    <w:p w:rsidR="00C5272C" w:rsidRPr="004E4CF1" w:rsidRDefault="00E36EF7" w:rsidP="009B6A01">
      <w:pPr>
        <w:jc w:val="both"/>
        <w:rPr>
          <w:rFonts w:asciiTheme="majorHAnsi" w:hAnsiTheme="majorHAnsi"/>
          <w:sz w:val="22"/>
          <w:szCs w:val="22"/>
        </w:rPr>
      </w:pPr>
      <w:r w:rsidRPr="004E4CF1">
        <w:rPr>
          <w:rFonts w:asciiTheme="majorHAnsi" w:hAnsiTheme="majorHAnsi"/>
          <w:sz w:val="22"/>
          <w:szCs w:val="22"/>
        </w:rPr>
        <w:t>T</w:t>
      </w:r>
      <w:r w:rsidR="006E1AA6" w:rsidRPr="004E4CF1">
        <w:rPr>
          <w:rFonts w:asciiTheme="majorHAnsi" w:hAnsiTheme="majorHAnsi"/>
          <w:sz w:val="22"/>
          <w:szCs w:val="22"/>
        </w:rPr>
        <w:t>hree regions record</w:t>
      </w:r>
      <w:r w:rsidRPr="004E4CF1">
        <w:rPr>
          <w:rFonts w:asciiTheme="majorHAnsi" w:hAnsiTheme="majorHAnsi"/>
          <w:sz w:val="22"/>
          <w:szCs w:val="22"/>
        </w:rPr>
        <w:t>ed</w:t>
      </w:r>
      <w:r w:rsidR="006E1AA6" w:rsidRPr="004E4CF1">
        <w:rPr>
          <w:rFonts w:asciiTheme="majorHAnsi" w:hAnsiTheme="majorHAnsi"/>
          <w:sz w:val="22"/>
          <w:szCs w:val="22"/>
        </w:rPr>
        <w:t xml:space="preserve"> year-on-year falls in weekly rent</w:t>
      </w:r>
      <w:r w:rsidRPr="004E4CF1">
        <w:rPr>
          <w:rFonts w:asciiTheme="majorHAnsi" w:hAnsiTheme="majorHAnsi"/>
          <w:sz w:val="22"/>
          <w:szCs w:val="22"/>
        </w:rPr>
        <w:t>: t</w:t>
      </w:r>
      <w:r w:rsidR="006E1AA6" w:rsidRPr="004E4CF1">
        <w:rPr>
          <w:rFonts w:asciiTheme="majorHAnsi" w:hAnsiTheme="majorHAnsi"/>
          <w:sz w:val="22"/>
          <w:szCs w:val="22"/>
        </w:rPr>
        <w:t xml:space="preserve">he largest was in </w:t>
      </w:r>
      <w:r w:rsidR="006E1AA6" w:rsidRPr="004E4CF1">
        <w:rPr>
          <w:rFonts w:asciiTheme="majorHAnsi" w:hAnsiTheme="majorHAnsi"/>
          <w:b/>
          <w:sz w:val="22"/>
          <w:szCs w:val="22"/>
        </w:rPr>
        <w:t>Manawatu/Wanganui</w:t>
      </w:r>
      <w:r w:rsidR="006E1AA6" w:rsidRPr="004E4CF1">
        <w:rPr>
          <w:rFonts w:asciiTheme="majorHAnsi" w:hAnsiTheme="majorHAnsi"/>
          <w:sz w:val="22"/>
          <w:szCs w:val="22"/>
        </w:rPr>
        <w:t xml:space="preserve"> </w:t>
      </w:r>
      <w:r w:rsidRPr="004E4CF1">
        <w:rPr>
          <w:rFonts w:asciiTheme="majorHAnsi" w:hAnsiTheme="majorHAnsi"/>
          <w:sz w:val="22"/>
          <w:szCs w:val="22"/>
        </w:rPr>
        <w:t xml:space="preserve">where it fell almost 10 per cent to </w:t>
      </w:r>
      <w:r w:rsidR="006E1AA6" w:rsidRPr="004E4CF1">
        <w:rPr>
          <w:rFonts w:asciiTheme="majorHAnsi" w:hAnsiTheme="majorHAnsi"/>
          <w:sz w:val="22"/>
          <w:szCs w:val="22"/>
        </w:rPr>
        <w:t>$230</w:t>
      </w:r>
      <w:r w:rsidRPr="004E4CF1">
        <w:rPr>
          <w:rFonts w:asciiTheme="majorHAnsi" w:hAnsiTheme="majorHAnsi"/>
          <w:sz w:val="22"/>
          <w:szCs w:val="22"/>
        </w:rPr>
        <w:t xml:space="preserve"> per week</w:t>
      </w:r>
      <w:r w:rsidR="006178E4" w:rsidRPr="004E4CF1">
        <w:rPr>
          <w:rFonts w:asciiTheme="majorHAnsi" w:hAnsiTheme="majorHAnsi"/>
          <w:sz w:val="22"/>
          <w:szCs w:val="22"/>
        </w:rPr>
        <w:t>,</w:t>
      </w:r>
      <w:r w:rsidR="006E1AA6" w:rsidRPr="004E4CF1">
        <w:rPr>
          <w:rFonts w:asciiTheme="majorHAnsi" w:hAnsiTheme="majorHAnsi"/>
          <w:sz w:val="22"/>
          <w:szCs w:val="22"/>
        </w:rPr>
        <w:t xml:space="preserve"> </w:t>
      </w:r>
      <w:r w:rsidRPr="004E4CF1">
        <w:rPr>
          <w:rFonts w:asciiTheme="majorHAnsi" w:hAnsiTheme="majorHAnsi"/>
          <w:sz w:val="22"/>
          <w:szCs w:val="22"/>
        </w:rPr>
        <w:t xml:space="preserve">well below </w:t>
      </w:r>
      <w:r w:rsidR="006E1AA6" w:rsidRPr="004E4CF1">
        <w:rPr>
          <w:rFonts w:asciiTheme="majorHAnsi" w:hAnsiTheme="majorHAnsi"/>
          <w:sz w:val="22"/>
          <w:szCs w:val="22"/>
        </w:rPr>
        <w:t xml:space="preserve">the </w:t>
      </w:r>
      <w:r w:rsidRPr="004E4CF1">
        <w:rPr>
          <w:rFonts w:asciiTheme="majorHAnsi" w:hAnsiTheme="majorHAnsi"/>
          <w:sz w:val="22"/>
          <w:szCs w:val="22"/>
        </w:rPr>
        <w:t xml:space="preserve">region’s </w:t>
      </w:r>
      <w:r w:rsidR="006E1AA6" w:rsidRPr="004E4CF1">
        <w:rPr>
          <w:rFonts w:asciiTheme="majorHAnsi" w:hAnsiTheme="majorHAnsi"/>
          <w:sz w:val="22"/>
          <w:szCs w:val="22"/>
        </w:rPr>
        <w:t xml:space="preserve">peak of $260 </w:t>
      </w:r>
      <w:r w:rsidRPr="004E4CF1">
        <w:rPr>
          <w:rFonts w:asciiTheme="majorHAnsi" w:hAnsiTheme="majorHAnsi"/>
          <w:sz w:val="22"/>
          <w:szCs w:val="22"/>
        </w:rPr>
        <w:t xml:space="preserve">per week in </w:t>
      </w:r>
      <w:r w:rsidR="006E1AA6" w:rsidRPr="004E4CF1">
        <w:rPr>
          <w:rFonts w:asciiTheme="majorHAnsi" w:hAnsiTheme="majorHAnsi"/>
          <w:sz w:val="22"/>
          <w:szCs w:val="22"/>
        </w:rPr>
        <w:t xml:space="preserve">October 2013. </w:t>
      </w:r>
    </w:p>
    <w:p w:rsidR="00C5272C" w:rsidRPr="004E4CF1" w:rsidRDefault="00C5272C" w:rsidP="009B6A01">
      <w:pPr>
        <w:jc w:val="both"/>
        <w:rPr>
          <w:rFonts w:asciiTheme="majorHAnsi" w:hAnsiTheme="majorHAnsi"/>
          <w:sz w:val="22"/>
          <w:szCs w:val="22"/>
        </w:rPr>
      </w:pPr>
    </w:p>
    <w:p w:rsidR="006E1AA6" w:rsidRPr="004E4CF1" w:rsidRDefault="00E36EF7" w:rsidP="009B6A01">
      <w:pPr>
        <w:jc w:val="both"/>
        <w:rPr>
          <w:rFonts w:asciiTheme="majorHAnsi" w:hAnsiTheme="majorHAnsi"/>
          <w:sz w:val="22"/>
          <w:szCs w:val="22"/>
        </w:rPr>
      </w:pPr>
      <w:r w:rsidRPr="004E4CF1">
        <w:rPr>
          <w:rFonts w:asciiTheme="majorHAnsi" w:hAnsiTheme="majorHAnsi"/>
          <w:sz w:val="22"/>
          <w:szCs w:val="22"/>
        </w:rPr>
        <w:t>T</w:t>
      </w:r>
      <w:r w:rsidR="006E1AA6" w:rsidRPr="004E4CF1">
        <w:rPr>
          <w:rFonts w:asciiTheme="majorHAnsi" w:hAnsiTheme="majorHAnsi"/>
          <w:sz w:val="22"/>
          <w:szCs w:val="22"/>
        </w:rPr>
        <w:t xml:space="preserve">he </w:t>
      </w:r>
      <w:r w:rsidR="006E1AA6" w:rsidRPr="004E4CF1">
        <w:rPr>
          <w:rFonts w:asciiTheme="majorHAnsi" w:hAnsiTheme="majorHAnsi"/>
          <w:b/>
          <w:sz w:val="22"/>
          <w:szCs w:val="22"/>
        </w:rPr>
        <w:t>West Coast</w:t>
      </w:r>
      <w:r w:rsidR="006E1AA6" w:rsidRPr="004E4CF1">
        <w:rPr>
          <w:rFonts w:asciiTheme="majorHAnsi" w:hAnsiTheme="majorHAnsi"/>
          <w:sz w:val="22"/>
          <w:szCs w:val="22"/>
        </w:rPr>
        <w:t xml:space="preserve"> </w:t>
      </w:r>
      <w:r w:rsidRPr="004E4CF1">
        <w:rPr>
          <w:rFonts w:asciiTheme="majorHAnsi" w:hAnsiTheme="majorHAnsi"/>
          <w:sz w:val="22"/>
          <w:szCs w:val="22"/>
        </w:rPr>
        <w:t>continue</w:t>
      </w:r>
      <w:r w:rsidR="00C5272C" w:rsidRPr="004E4CF1">
        <w:rPr>
          <w:rFonts w:asciiTheme="majorHAnsi" w:hAnsiTheme="majorHAnsi"/>
          <w:sz w:val="22"/>
          <w:szCs w:val="22"/>
        </w:rPr>
        <w:t>s</w:t>
      </w:r>
      <w:r w:rsidRPr="004E4CF1">
        <w:rPr>
          <w:rFonts w:asciiTheme="majorHAnsi" w:hAnsiTheme="majorHAnsi"/>
          <w:sz w:val="22"/>
          <w:szCs w:val="22"/>
        </w:rPr>
        <w:t xml:space="preserve"> to be weak</w:t>
      </w:r>
      <w:r w:rsidR="00C5272C" w:rsidRPr="004E4CF1">
        <w:rPr>
          <w:rFonts w:asciiTheme="majorHAnsi" w:hAnsiTheme="majorHAnsi"/>
          <w:sz w:val="22"/>
          <w:szCs w:val="22"/>
        </w:rPr>
        <w:t xml:space="preserve">, </w:t>
      </w:r>
      <w:r w:rsidRPr="004E4CF1">
        <w:rPr>
          <w:rFonts w:asciiTheme="majorHAnsi" w:hAnsiTheme="majorHAnsi"/>
          <w:sz w:val="22"/>
          <w:szCs w:val="22"/>
        </w:rPr>
        <w:t xml:space="preserve">down </w:t>
      </w:r>
      <w:r w:rsidR="006E1AA6" w:rsidRPr="004E4CF1">
        <w:rPr>
          <w:rFonts w:asciiTheme="majorHAnsi" w:hAnsiTheme="majorHAnsi"/>
          <w:sz w:val="22"/>
          <w:szCs w:val="22"/>
        </w:rPr>
        <w:t xml:space="preserve">4 per cent </w:t>
      </w:r>
      <w:r w:rsidRPr="004E4CF1">
        <w:rPr>
          <w:rFonts w:asciiTheme="majorHAnsi" w:hAnsiTheme="majorHAnsi"/>
          <w:sz w:val="22"/>
          <w:szCs w:val="22"/>
        </w:rPr>
        <w:t>on a year ago</w:t>
      </w:r>
      <w:r w:rsidR="006E1AA6" w:rsidRPr="004E4CF1">
        <w:rPr>
          <w:rFonts w:asciiTheme="majorHAnsi" w:hAnsiTheme="majorHAnsi"/>
          <w:sz w:val="22"/>
          <w:szCs w:val="22"/>
        </w:rPr>
        <w:t xml:space="preserve"> to $240</w:t>
      </w:r>
      <w:r w:rsidR="00C5272C" w:rsidRPr="004E4CF1">
        <w:rPr>
          <w:rFonts w:asciiTheme="majorHAnsi" w:hAnsiTheme="majorHAnsi"/>
          <w:sz w:val="22"/>
          <w:szCs w:val="22"/>
        </w:rPr>
        <w:t xml:space="preserve"> per week</w:t>
      </w:r>
      <w:r w:rsidR="006E1AA6" w:rsidRPr="004E4CF1">
        <w:rPr>
          <w:rFonts w:asciiTheme="majorHAnsi" w:hAnsiTheme="majorHAnsi"/>
          <w:sz w:val="22"/>
          <w:szCs w:val="22"/>
        </w:rPr>
        <w:t>.</w:t>
      </w:r>
      <w:r w:rsidR="00C5272C" w:rsidRPr="004E4CF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C5272C" w:rsidRPr="004E4CF1">
        <w:rPr>
          <w:rFonts w:asciiTheme="majorHAnsi" w:hAnsiTheme="majorHAnsi"/>
          <w:b/>
          <w:sz w:val="22"/>
          <w:szCs w:val="22"/>
        </w:rPr>
        <w:t>Otago</w:t>
      </w:r>
      <w:proofErr w:type="spellEnd"/>
      <w:r w:rsidR="00C5272C" w:rsidRPr="004E4CF1">
        <w:rPr>
          <w:rFonts w:asciiTheme="majorHAnsi" w:hAnsiTheme="majorHAnsi"/>
          <w:sz w:val="22"/>
          <w:szCs w:val="22"/>
        </w:rPr>
        <w:t xml:space="preserve"> landlords have enjoyed strong median rent rises of around 6 per cent most of 2014, but median rents slipped </w:t>
      </w:r>
      <w:r w:rsidR="00F53992" w:rsidRPr="004E4CF1">
        <w:rPr>
          <w:rFonts w:asciiTheme="majorHAnsi" w:hAnsiTheme="majorHAnsi"/>
          <w:sz w:val="22"/>
          <w:szCs w:val="22"/>
        </w:rPr>
        <w:t xml:space="preserve">1.6 per cent </w:t>
      </w:r>
      <w:r w:rsidR="00C5272C" w:rsidRPr="004E4CF1">
        <w:rPr>
          <w:rFonts w:asciiTheme="majorHAnsi" w:hAnsiTheme="majorHAnsi"/>
          <w:sz w:val="22"/>
          <w:szCs w:val="22"/>
        </w:rPr>
        <w:t>this month</w:t>
      </w:r>
      <w:r w:rsidR="00F53992" w:rsidRPr="004E4CF1">
        <w:rPr>
          <w:rFonts w:asciiTheme="majorHAnsi" w:hAnsiTheme="majorHAnsi"/>
          <w:sz w:val="22"/>
          <w:szCs w:val="22"/>
        </w:rPr>
        <w:t>.</w:t>
      </w:r>
    </w:p>
    <w:p w:rsidR="006E1AA6" w:rsidRPr="004E4CF1" w:rsidRDefault="006E1AA6" w:rsidP="009B6A01">
      <w:pPr>
        <w:jc w:val="both"/>
        <w:rPr>
          <w:rFonts w:asciiTheme="majorHAnsi" w:hAnsiTheme="majorHAnsi"/>
          <w:sz w:val="22"/>
          <w:szCs w:val="22"/>
        </w:rPr>
      </w:pPr>
    </w:p>
    <w:p w:rsidR="00C5272C" w:rsidRDefault="00C5272C" w:rsidP="009B6A01">
      <w:pPr>
        <w:jc w:val="both"/>
        <w:rPr>
          <w:rFonts w:asciiTheme="majorHAnsi" w:hAnsiTheme="majorHAnsi"/>
          <w:sz w:val="22"/>
          <w:szCs w:val="22"/>
        </w:rPr>
      </w:pPr>
      <w:r w:rsidRPr="004E4CF1">
        <w:rPr>
          <w:rFonts w:asciiTheme="majorHAnsi" w:hAnsiTheme="majorHAnsi"/>
          <w:sz w:val="22"/>
          <w:szCs w:val="22"/>
        </w:rPr>
        <w:t xml:space="preserve">Twelve regions saw median rent increases, led by </w:t>
      </w:r>
      <w:proofErr w:type="spellStart"/>
      <w:r w:rsidR="006E1AA6" w:rsidRPr="004E4CF1">
        <w:rPr>
          <w:rFonts w:asciiTheme="majorHAnsi" w:hAnsiTheme="majorHAnsi"/>
          <w:b/>
          <w:sz w:val="22"/>
          <w:szCs w:val="22"/>
        </w:rPr>
        <w:t>Taranaki</w:t>
      </w:r>
      <w:proofErr w:type="spellEnd"/>
      <w:r w:rsidR="006E1AA6" w:rsidRPr="004E4CF1">
        <w:rPr>
          <w:rFonts w:asciiTheme="majorHAnsi" w:hAnsiTheme="majorHAnsi"/>
          <w:sz w:val="22"/>
          <w:szCs w:val="22"/>
        </w:rPr>
        <w:t xml:space="preserve"> </w:t>
      </w:r>
      <w:r w:rsidRPr="004E4CF1">
        <w:rPr>
          <w:rFonts w:asciiTheme="majorHAnsi" w:hAnsiTheme="majorHAnsi"/>
          <w:sz w:val="22"/>
          <w:szCs w:val="22"/>
        </w:rPr>
        <w:t xml:space="preserve">which is up </w:t>
      </w:r>
      <w:r w:rsidR="006E1AA6" w:rsidRPr="004E4CF1">
        <w:rPr>
          <w:rFonts w:asciiTheme="majorHAnsi" w:hAnsiTheme="majorHAnsi"/>
          <w:sz w:val="22"/>
          <w:szCs w:val="22"/>
        </w:rPr>
        <w:t xml:space="preserve">16 per cent </w:t>
      </w:r>
      <w:r w:rsidRPr="004E4CF1">
        <w:rPr>
          <w:rFonts w:asciiTheme="majorHAnsi" w:hAnsiTheme="majorHAnsi"/>
          <w:sz w:val="22"/>
          <w:szCs w:val="22"/>
        </w:rPr>
        <w:t xml:space="preserve">to </w:t>
      </w:r>
      <w:r w:rsidR="006E1AA6" w:rsidRPr="004E4CF1">
        <w:rPr>
          <w:rFonts w:asciiTheme="majorHAnsi" w:hAnsiTheme="majorHAnsi"/>
          <w:sz w:val="22"/>
          <w:szCs w:val="22"/>
        </w:rPr>
        <w:t>$350</w:t>
      </w:r>
      <w:r w:rsidRPr="004E4CF1">
        <w:rPr>
          <w:rFonts w:asciiTheme="majorHAnsi" w:hAnsiTheme="majorHAnsi"/>
          <w:sz w:val="22"/>
          <w:szCs w:val="22"/>
        </w:rPr>
        <w:t xml:space="preserve"> per week – tenants are paying fifty dollars more than they were a year ago.</w:t>
      </w:r>
      <w:r w:rsidR="006E1AA6" w:rsidRPr="004E4CF1">
        <w:rPr>
          <w:rFonts w:asciiTheme="majorHAnsi" w:hAnsiTheme="majorHAnsi"/>
          <w:sz w:val="22"/>
          <w:szCs w:val="22"/>
        </w:rPr>
        <w:t xml:space="preserve"> </w:t>
      </w:r>
      <w:r w:rsidRPr="004E4CF1">
        <w:rPr>
          <w:rFonts w:asciiTheme="majorHAnsi" w:hAnsiTheme="majorHAnsi"/>
          <w:sz w:val="22"/>
          <w:szCs w:val="22"/>
        </w:rPr>
        <w:t>T</w:t>
      </w:r>
      <w:r w:rsidR="006E1AA6" w:rsidRPr="004E4CF1">
        <w:rPr>
          <w:rFonts w:asciiTheme="majorHAnsi" w:hAnsiTheme="majorHAnsi"/>
          <w:sz w:val="22"/>
          <w:szCs w:val="22"/>
        </w:rPr>
        <w:t xml:space="preserve">he top of the South Island </w:t>
      </w:r>
      <w:r w:rsidRPr="004E4CF1">
        <w:rPr>
          <w:rFonts w:asciiTheme="majorHAnsi" w:hAnsiTheme="majorHAnsi"/>
          <w:sz w:val="22"/>
          <w:szCs w:val="22"/>
        </w:rPr>
        <w:t xml:space="preserve">is also showing increased </w:t>
      </w:r>
      <w:r w:rsidR="006E1AA6" w:rsidRPr="004E4CF1">
        <w:rPr>
          <w:rFonts w:asciiTheme="majorHAnsi" w:hAnsiTheme="majorHAnsi"/>
          <w:sz w:val="22"/>
          <w:szCs w:val="22"/>
        </w:rPr>
        <w:t xml:space="preserve">activity with both </w:t>
      </w:r>
      <w:r w:rsidR="006E1AA6" w:rsidRPr="004E4CF1">
        <w:rPr>
          <w:rFonts w:asciiTheme="majorHAnsi" w:hAnsiTheme="majorHAnsi"/>
          <w:b/>
          <w:sz w:val="22"/>
          <w:szCs w:val="22"/>
        </w:rPr>
        <w:t>Nelson</w:t>
      </w:r>
      <w:r w:rsidR="006E1AA6" w:rsidRPr="004E4CF1">
        <w:rPr>
          <w:rFonts w:asciiTheme="majorHAnsi" w:hAnsiTheme="majorHAnsi"/>
          <w:sz w:val="22"/>
          <w:szCs w:val="22"/>
        </w:rPr>
        <w:t xml:space="preserve"> and </w:t>
      </w:r>
      <w:r w:rsidR="006E1AA6" w:rsidRPr="004E4CF1">
        <w:rPr>
          <w:rFonts w:asciiTheme="majorHAnsi" w:hAnsiTheme="majorHAnsi"/>
          <w:b/>
          <w:sz w:val="22"/>
          <w:szCs w:val="22"/>
        </w:rPr>
        <w:t>Marlborough</w:t>
      </w:r>
      <w:r w:rsidR="006E1AA6" w:rsidRPr="004E4CF1">
        <w:rPr>
          <w:rFonts w:asciiTheme="majorHAnsi" w:hAnsiTheme="majorHAnsi"/>
          <w:sz w:val="22"/>
          <w:szCs w:val="22"/>
        </w:rPr>
        <w:t xml:space="preserve"> recording new highs of $360</w:t>
      </w:r>
      <w:r w:rsidRPr="004E4CF1">
        <w:rPr>
          <w:rFonts w:asciiTheme="majorHAnsi" w:hAnsiTheme="majorHAnsi"/>
          <w:sz w:val="22"/>
          <w:szCs w:val="22"/>
        </w:rPr>
        <w:t xml:space="preserve"> per week </w:t>
      </w:r>
      <w:r w:rsidR="006E1AA6" w:rsidRPr="004E4CF1">
        <w:rPr>
          <w:rFonts w:asciiTheme="majorHAnsi" w:hAnsiTheme="majorHAnsi"/>
          <w:sz w:val="22"/>
          <w:szCs w:val="22"/>
        </w:rPr>
        <w:t>and $318</w:t>
      </w:r>
      <w:r w:rsidRPr="004E4CF1">
        <w:rPr>
          <w:rFonts w:asciiTheme="majorHAnsi" w:hAnsiTheme="majorHAnsi"/>
          <w:sz w:val="22"/>
          <w:szCs w:val="22"/>
        </w:rPr>
        <w:t xml:space="preserve"> per week </w:t>
      </w:r>
      <w:r w:rsidR="006E1AA6" w:rsidRPr="004E4CF1">
        <w:rPr>
          <w:rFonts w:asciiTheme="majorHAnsi" w:hAnsiTheme="majorHAnsi"/>
          <w:sz w:val="22"/>
          <w:szCs w:val="22"/>
        </w:rPr>
        <w:t>respectively</w:t>
      </w:r>
      <w:r w:rsidRPr="004E4CF1">
        <w:rPr>
          <w:rFonts w:asciiTheme="majorHAnsi" w:hAnsiTheme="majorHAnsi"/>
          <w:sz w:val="22"/>
          <w:szCs w:val="22"/>
        </w:rPr>
        <w:t>.</w:t>
      </w:r>
    </w:p>
    <w:p w:rsidR="009338CE" w:rsidRPr="004E4CF1" w:rsidRDefault="009338CE" w:rsidP="009B6A01">
      <w:pPr>
        <w:jc w:val="both"/>
        <w:rPr>
          <w:rFonts w:asciiTheme="majorHAnsi" w:hAnsiTheme="majorHAnsi"/>
          <w:sz w:val="22"/>
          <w:szCs w:val="22"/>
        </w:rPr>
      </w:pPr>
    </w:p>
    <w:p w:rsidR="006E1AA6" w:rsidRPr="004E4CF1" w:rsidRDefault="009B6A01" w:rsidP="00C5272C">
      <w:pPr>
        <w:jc w:val="center"/>
        <w:rPr>
          <w:rFonts w:asciiTheme="majorHAnsi" w:hAnsiTheme="majorHAnsi"/>
          <w:sz w:val="22"/>
          <w:szCs w:val="22"/>
        </w:rPr>
      </w:pPr>
      <w:r w:rsidRPr="004E4CF1">
        <w:rPr>
          <w:rFonts w:asciiTheme="majorHAnsi" w:hAnsiTheme="majorHAnsi"/>
          <w:noProof/>
          <w:sz w:val="22"/>
          <w:szCs w:val="22"/>
          <w:lang w:eastAsia="en-NZ"/>
        </w:rPr>
        <w:drawing>
          <wp:inline distT="0" distB="0" distL="0" distR="0" wp14:anchorId="382BE47B" wp14:editId="06E9176E">
            <wp:extent cx="3638734" cy="3354070"/>
            <wp:effectExtent l="0" t="0" r="0" b="0"/>
            <wp:docPr id="4" name="Picture 4" descr="C:\Users\ahelm\AppData\Local\Temp\Temp1_Rental Price Index_December2014.zip\03-YOY-Change-Oct-2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helm\AppData\Local\Temp\Temp1_Rental Price Index_December2014.zip\03-YOY-Change-Oct-2014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169" cy="3387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AA6" w:rsidRPr="004E4CF1" w:rsidRDefault="006E1AA6" w:rsidP="009B6A01">
      <w:pPr>
        <w:jc w:val="both"/>
        <w:rPr>
          <w:rFonts w:asciiTheme="majorHAnsi" w:hAnsiTheme="majorHAnsi"/>
          <w:sz w:val="22"/>
          <w:szCs w:val="22"/>
        </w:rPr>
      </w:pPr>
    </w:p>
    <w:p w:rsidR="006E1AA6" w:rsidRPr="004E4CF1" w:rsidRDefault="006E1AA6" w:rsidP="009B6A01">
      <w:pPr>
        <w:jc w:val="both"/>
        <w:rPr>
          <w:rFonts w:asciiTheme="majorHAnsi" w:hAnsiTheme="majorHAnsi"/>
          <w:b/>
          <w:sz w:val="22"/>
          <w:szCs w:val="22"/>
        </w:rPr>
      </w:pPr>
      <w:r w:rsidRPr="004E4CF1">
        <w:rPr>
          <w:rFonts w:asciiTheme="majorHAnsi" w:hAnsiTheme="majorHAnsi"/>
          <w:b/>
          <w:sz w:val="22"/>
          <w:szCs w:val="22"/>
        </w:rPr>
        <w:t>Pressure remain</w:t>
      </w:r>
      <w:r w:rsidR="004E4CF1">
        <w:rPr>
          <w:rFonts w:asciiTheme="majorHAnsi" w:hAnsiTheme="majorHAnsi"/>
          <w:b/>
          <w:sz w:val="22"/>
          <w:szCs w:val="22"/>
        </w:rPr>
        <w:t>s</w:t>
      </w:r>
      <w:r w:rsidRPr="004E4CF1">
        <w:rPr>
          <w:rFonts w:asciiTheme="majorHAnsi" w:hAnsiTheme="majorHAnsi"/>
          <w:b/>
          <w:sz w:val="22"/>
          <w:szCs w:val="22"/>
        </w:rPr>
        <w:t xml:space="preserve"> in Christchurch but Auckland easing</w:t>
      </w:r>
    </w:p>
    <w:p w:rsidR="006E1AA6" w:rsidRPr="004E4CF1" w:rsidRDefault="006E1AA6" w:rsidP="009B6A01">
      <w:pPr>
        <w:jc w:val="both"/>
        <w:rPr>
          <w:rFonts w:asciiTheme="majorHAnsi" w:hAnsiTheme="majorHAnsi"/>
          <w:sz w:val="22"/>
          <w:szCs w:val="22"/>
        </w:rPr>
      </w:pPr>
    </w:p>
    <w:p w:rsidR="004E4CF1" w:rsidRPr="004E4CF1" w:rsidRDefault="00C5272C" w:rsidP="004E4CF1">
      <w:pPr>
        <w:jc w:val="both"/>
        <w:rPr>
          <w:rFonts w:asciiTheme="majorHAnsi" w:hAnsiTheme="majorHAnsi"/>
          <w:sz w:val="22"/>
          <w:szCs w:val="22"/>
        </w:rPr>
      </w:pPr>
      <w:r w:rsidRPr="004E4CF1">
        <w:rPr>
          <w:rFonts w:asciiTheme="majorHAnsi" w:hAnsiTheme="majorHAnsi"/>
          <w:sz w:val="22"/>
          <w:szCs w:val="22"/>
        </w:rPr>
        <w:t xml:space="preserve">Mr Jeffries said the tight rental market in </w:t>
      </w:r>
      <w:r w:rsidRPr="004E4CF1">
        <w:rPr>
          <w:rFonts w:asciiTheme="majorHAnsi" w:hAnsiTheme="majorHAnsi"/>
          <w:b/>
          <w:sz w:val="22"/>
          <w:szCs w:val="22"/>
        </w:rPr>
        <w:t>Christchurch</w:t>
      </w:r>
      <w:r w:rsidRPr="004E4CF1">
        <w:rPr>
          <w:rFonts w:asciiTheme="majorHAnsi" w:hAnsiTheme="majorHAnsi"/>
          <w:sz w:val="22"/>
          <w:szCs w:val="22"/>
        </w:rPr>
        <w:t xml:space="preserve"> was still in play, </w:t>
      </w:r>
      <w:r w:rsidR="004E4CF1" w:rsidRPr="004E4CF1">
        <w:rPr>
          <w:rFonts w:asciiTheme="majorHAnsi" w:hAnsiTheme="majorHAnsi"/>
          <w:sz w:val="22"/>
          <w:szCs w:val="22"/>
        </w:rPr>
        <w:t xml:space="preserve">and </w:t>
      </w:r>
      <w:r w:rsidRPr="004E4CF1">
        <w:rPr>
          <w:rFonts w:asciiTheme="majorHAnsi" w:hAnsiTheme="majorHAnsi"/>
          <w:sz w:val="22"/>
          <w:szCs w:val="22"/>
        </w:rPr>
        <w:t>although the median weekly rent of $450 had not budged since October</w:t>
      </w:r>
      <w:r w:rsidR="004E4CF1" w:rsidRPr="004E4CF1">
        <w:rPr>
          <w:rFonts w:asciiTheme="majorHAnsi" w:hAnsiTheme="majorHAnsi"/>
          <w:sz w:val="22"/>
          <w:szCs w:val="22"/>
        </w:rPr>
        <w:t xml:space="preserve"> it was up almost 6 per cent on a year ago. Beyond the headline figure for all properties the recent pressure around large and medium-sized houses has decreased slightly with a year-on-year fall of 0.7 per cent to $695 per week.</w:t>
      </w:r>
    </w:p>
    <w:p w:rsidR="00C5272C" w:rsidRPr="004E4CF1" w:rsidRDefault="00C5272C" w:rsidP="00C5272C">
      <w:pPr>
        <w:jc w:val="both"/>
        <w:rPr>
          <w:rFonts w:asciiTheme="majorHAnsi" w:hAnsiTheme="majorHAnsi"/>
          <w:sz w:val="22"/>
          <w:szCs w:val="22"/>
        </w:rPr>
      </w:pPr>
    </w:p>
    <w:p w:rsidR="004E4CF1" w:rsidRPr="004E4CF1" w:rsidRDefault="00C5272C" w:rsidP="009B6A01">
      <w:pPr>
        <w:jc w:val="both"/>
        <w:rPr>
          <w:rFonts w:asciiTheme="majorHAnsi" w:hAnsiTheme="majorHAnsi"/>
          <w:sz w:val="22"/>
          <w:szCs w:val="22"/>
        </w:rPr>
      </w:pPr>
      <w:r w:rsidRPr="004E4CF1">
        <w:rPr>
          <w:rFonts w:asciiTheme="majorHAnsi" w:hAnsiTheme="majorHAnsi"/>
          <w:b/>
          <w:sz w:val="22"/>
          <w:szCs w:val="22"/>
        </w:rPr>
        <w:t>Auckland</w:t>
      </w:r>
      <w:r w:rsidRPr="004E4CF1">
        <w:rPr>
          <w:rFonts w:asciiTheme="majorHAnsi" w:hAnsiTheme="majorHAnsi"/>
          <w:sz w:val="22"/>
          <w:szCs w:val="22"/>
        </w:rPr>
        <w:t xml:space="preserve"> was also unchanged on $460 per week – but still at a record-equalling high. Mr Jeffries said there were hints that the rental market was easing in the City of Sails, </w:t>
      </w:r>
      <w:r w:rsidR="006E1AA6" w:rsidRPr="004E4CF1">
        <w:rPr>
          <w:rFonts w:asciiTheme="majorHAnsi" w:hAnsiTheme="majorHAnsi"/>
          <w:sz w:val="22"/>
          <w:szCs w:val="22"/>
        </w:rPr>
        <w:t>with a 2.2</w:t>
      </w:r>
      <w:r w:rsidRPr="004E4CF1">
        <w:rPr>
          <w:rFonts w:asciiTheme="majorHAnsi" w:hAnsiTheme="majorHAnsi"/>
          <w:sz w:val="22"/>
          <w:szCs w:val="22"/>
        </w:rPr>
        <w:t xml:space="preserve"> per cent </w:t>
      </w:r>
      <w:r w:rsidR="006E1AA6" w:rsidRPr="004E4CF1">
        <w:rPr>
          <w:rFonts w:asciiTheme="majorHAnsi" w:hAnsiTheme="majorHAnsi"/>
          <w:sz w:val="22"/>
          <w:szCs w:val="22"/>
        </w:rPr>
        <w:t xml:space="preserve">increase </w:t>
      </w:r>
      <w:r w:rsidR="004E4CF1" w:rsidRPr="004E4CF1">
        <w:rPr>
          <w:rFonts w:asciiTheme="majorHAnsi" w:hAnsiTheme="majorHAnsi"/>
          <w:sz w:val="22"/>
          <w:szCs w:val="22"/>
        </w:rPr>
        <w:t xml:space="preserve">compared to </w:t>
      </w:r>
      <w:r w:rsidR="006E1AA6" w:rsidRPr="004E4CF1">
        <w:rPr>
          <w:rFonts w:asciiTheme="majorHAnsi" w:hAnsiTheme="majorHAnsi"/>
          <w:sz w:val="22"/>
          <w:szCs w:val="22"/>
        </w:rPr>
        <w:t xml:space="preserve">November last year. </w:t>
      </w:r>
    </w:p>
    <w:p w:rsidR="006E1AA6" w:rsidRPr="004E4CF1" w:rsidRDefault="006E1AA6" w:rsidP="009B6A01">
      <w:pPr>
        <w:jc w:val="both"/>
        <w:rPr>
          <w:rFonts w:asciiTheme="majorHAnsi" w:hAnsiTheme="majorHAnsi"/>
          <w:sz w:val="22"/>
          <w:szCs w:val="22"/>
        </w:rPr>
      </w:pPr>
    </w:p>
    <w:p w:rsidR="004E4CF1" w:rsidRPr="004E4CF1" w:rsidRDefault="004E4CF1" w:rsidP="009B6A01">
      <w:pPr>
        <w:jc w:val="both"/>
        <w:rPr>
          <w:rFonts w:asciiTheme="majorHAnsi" w:hAnsiTheme="majorHAnsi"/>
          <w:sz w:val="22"/>
          <w:szCs w:val="22"/>
        </w:rPr>
      </w:pPr>
      <w:r w:rsidRPr="004E4CF1">
        <w:rPr>
          <w:rFonts w:asciiTheme="majorHAnsi" w:hAnsiTheme="majorHAnsi"/>
          <w:sz w:val="22"/>
          <w:szCs w:val="22"/>
        </w:rPr>
        <w:t xml:space="preserve">In </w:t>
      </w:r>
      <w:r w:rsidR="006E1AA6" w:rsidRPr="004E4CF1">
        <w:rPr>
          <w:rFonts w:asciiTheme="majorHAnsi" w:hAnsiTheme="majorHAnsi"/>
          <w:b/>
          <w:sz w:val="22"/>
          <w:szCs w:val="22"/>
        </w:rPr>
        <w:t>Wellington</w:t>
      </w:r>
      <w:r w:rsidRPr="004E4CF1">
        <w:rPr>
          <w:rFonts w:asciiTheme="majorHAnsi" w:hAnsiTheme="majorHAnsi"/>
          <w:sz w:val="22"/>
          <w:szCs w:val="22"/>
        </w:rPr>
        <w:t xml:space="preserve"> there was </w:t>
      </w:r>
      <w:r w:rsidR="006E1AA6" w:rsidRPr="004E4CF1">
        <w:rPr>
          <w:rFonts w:asciiTheme="majorHAnsi" w:hAnsiTheme="majorHAnsi"/>
          <w:sz w:val="22"/>
          <w:szCs w:val="22"/>
        </w:rPr>
        <w:t xml:space="preserve">a </w:t>
      </w:r>
      <w:r w:rsidRPr="004E4CF1">
        <w:rPr>
          <w:rFonts w:asciiTheme="majorHAnsi" w:hAnsiTheme="majorHAnsi"/>
          <w:sz w:val="22"/>
          <w:szCs w:val="22"/>
        </w:rPr>
        <w:t xml:space="preserve">2.7 per cent </w:t>
      </w:r>
      <w:r w:rsidR="006E1AA6" w:rsidRPr="004E4CF1">
        <w:rPr>
          <w:rFonts w:asciiTheme="majorHAnsi" w:hAnsiTheme="majorHAnsi"/>
          <w:sz w:val="22"/>
          <w:szCs w:val="22"/>
        </w:rPr>
        <w:t>rise in wee</w:t>
      </w:r>
      <w:r w:rsidRPr="004E4CF1">
        <w:rPr>
          <w:rFonts w:asciiTheme="majorHAnsi" w:hAnsiTheme="majorHAnsi"/>
          <w:sz w:val="22"/>
          <w:szCs w:val="22"/>
        </w:rPr>
        <w:t>kly rents, underpinned by a 10 per cent lift for medium-</w:t>
      </w:r>
      <w:r w:rsidR="006E1AA6" w:rsidRPr="004E4CF1">
        <w:rPr>
          <w:rFonts w:asciiTheme="majorHAnsi" w:hAnsiTheme="majorHAnsi"/>
          <w:sz w:val="22"/>
          <w:szCs w:val="22"/>
        </w:rPr>
        <w:t xml:space="preserve">sized houses </w:t>
      </w:r>
      <w:r w:rsidRPr="004E4CF1">
        <w:rPr>
          <w:rFonts w:asciiTheme="majorHAnsi" w:hAnsiTheme="majorHAnsi"/>
          <w:sz w:val="22"/>
          <w:szCs w:val="22"/>
        </w:rPr>
        <w:t>to $440 per week (still $40 per week lower than the all-time high back in January 2014).</w:t>
      </w:r>
    </w:p>
    <w:p w:rsidR="006E1AA6" w:rsidRPr="004E4CF1" w:rsidRDefault="006E1AA6" w:rsidP="009B6A01">
      <w:pPr>
        <w:jc w:val="both"/>
        <w:rPr>
          <w:rFonts w:asciiTheme="majorHAnsi" w:hAnsiTheme="majorHAnsi"/>
          <w:sz w:val="22"/>
          <w:szCs w:val="22"/>
        </w:rPr>
      </w:pPr>
      <w:r w:rsidRPr="004E4CF1">
        <w:rPr>
          <w:rFonts w:asciiTheme="majorHAnsi" w:hAnsiTheme="majorHAnsi"/>
          <w:sz w:val="22"/>
          <w:szCs w:val="22"/>
        </w:rPr>
        <w:t xml:space="preserve">  </w:t>
      </w:r>
    </w:p>
    <w:p w:rsidR="009338CE" w:rsidRDefault="009338CE">
      <w:pPr>
        <w:rPr>
          <w:rFonts w:asciiTheme="majorHAnsi" w:eastAsia="Arial Unicode MS" w:hAnsiTheme="majorHAnsi" w:cs="Arial Unicode MS"/>
          <w:i/>
          <w:color w:val="000000"/>
          <w:sz w:val="22"/>
          <w:szCs w:val="22"/>
          <w:bdr w:val="nil"/>
          <w:lang w:val="en-US" w:eastAsia="en-NZ"/>
        </w:rPr>
      </w:pPr>
      <w:r>
        <w:rPr>
          <w:rFonts w:asciiTheme="majorHAnsi" w:hAnsiTheme="majorHAnsi"/>
          <w:i/>
        </w:rPr>
        <w:br w:type="page"/>
      </w:r>
    </w:p>
    <w:p w:rsidR="004E4CF1" w:rsidRPr="004E4CF1" w:rsidRDefault="004E4CF1" w:rsidP="004E4CF1">
      <w:pPr>
        <w:pStyle w:val="Body"/>
        <w:rPr>
          <w:rFonts w:asciiTheme="majorHAnsi" w:hAnsiTheme="majorHAnsi"/>
          <w:i/>
          <w:sz w:val="20"/>
          <w:szCs w:val="20"/>
        </w:rPr>
      </w:pPr>
      <w:r w:rsidRPr="004E4CF1">
        <w:rPr>
          <w:rFonts w:asciiTheme="majorHAnsi" w:hAnsiTheme="majorHAnsi"/>
          <w:i/>
        </w:rPr>
        <w:lastRenderedPageBreak/>
        <w:t>Table 1: Median weekly rent by property size &amp; region</w:t>
      </w:r>
    </w:p>
    <w:p w:rsidR="004E4CF1" w:rsidRPr="004E4CF1" w:rsidRDefault="004E4CF1" w:rsidP="004E4CF1">
      <w:pPr>
        <w:pStyle w:val="Body"/>
        <w:rPr>
          <w:rFonts w:asciiTheme="majorHAnsi" w:hAnsiTheme="majorHAnsi"/>
          <w:i/>
          <w:sz w:val="20"/>
          <w:szCs w:val="20"/>
        </w:rPr>
      </w:pPr>
    </w:p>
    <w:tbl>
      <w:tblPr>
        <w:tblStyle w:val="LightShading-Accent1"/>
        <w:tblW w:w="0" w:type="auto"/>
        <w:tblCellSpacing w:w="57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25"/>
        <w:gridCol w:w="2066"/>
        <w:gridCol w:w="2068"/>
        <w:gridCol w:w="2071"/>
        <w:gridCol w:w="2130"/>
      </w:tblGrid>
      <w:tr w:rsidR="004E4CF1" w:rsidRPr="004E4CF1" w:rsidTr="000A1D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CellSpacing w:w="5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:rsidR="004E4CF1" w:rsidRPr="004E4CF1" w:rsidRDefault="004E4CF1" w:rsidP="000A1D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71" w:type="dxa"/>
          </w:tcPr>
          <w:p w:rsidR="004E4CF1" w:rsidRPr="004E4CF1" w:rsidRDefault="004E4CF1" w:rsidP="000A1D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1F497D" w:themeColor="text2"/>
                <w:sz w:val="20"/>
                <w:szCs w:val="20"/>
              </w:rPr>
            </w:pPr>
            <w:r w:rsidRPr="004E4CF1">
              <w:rPr>
                <w:rFonts w:asciiTheme="majorHAnsi" w:hAnsiTheme="majorHAnsi"/>
                <w:color w:val="1F497D" w:themeColor="text2"/>
                <w:sz w:val="20"/>
                <w:szCs w:val="20"/>
              </w:rPr>
              <w:t>New Zealand</w:t>
            </w:r>
          </w:p>
        </w:tc>
        <w:tc>
          <w:tcPr>
            <w:tcW w:w="1971" w:type="dxa"/>
          </w:tcPr>
          <w:p w:rsidR="004E4CF1" w:rsidRPr="004E4CF1" w:rsidRDefault="004E4CF1" w:rsidP="000A1D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1F497D" w:themeColor="text2"/>
                <w:sz w:val="20"/>
                <w:szCs w:val="20"/>
              </w:rPr>
            </w:pPr>
            <w:r w:rsidRPr="004E4CF1">
              <w:rPr>
                <w:rFonts w:asciiTheme="majorHAnsi" w:hAnsiTheme="majorHAnsi"/>
                <w:color w:val="1F497D" w:themeColor="text2"/>
                <w:sz w:val="20"/>
                <w:szCs w:val="20"/>
              </w:rPr>
              <w:t>Auckland</w:t>
            </w:r>
          </w:p>
        </w:tc>
        <w:tc>
          <w:tcPr>
            <w:tcW w:w="1971" w:type="dxa"/>
          </w:tcPr>
          <w:p w:rsidR="004E4CF1" w:rsidRPr="004E4CF1" w:rsidRDefault="004E4CF1" w:rsidP="000A1D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1F497D" w:themeColor="text2"/>
                <w:sz w:val="20"/>
                <w:szCs w:val="20"/>
              </w:rPr>
            </w:pPr>
            <w:r w:rsidRPr="004E4CF1">
              <w:rPr>
                <w:rFonts w:asciiTheme="majorHAnsi" w:hAnsiTheme="majorHAnsi"/>
                <w:color w:val="1F497D" w:themeColor="text2"/>
                <w:sz w:val="20"/>
                <w:szCs w:val="20"/>
              </w:rPr>
              <w:t>Wellington</w:t>
            </w:r>
          </w:p>
        </w:tc>
        <w:tc>
          <w:tcPr>
            <w:tcW w:w="1971" w:type="dxa"/>
          </w:tcPr>
          <w:p w:rsidR="004E4CF1" w:rsidRPr="004E4CF1" w:rsidRDefault="004E4CF1" w:rsidP="000A1D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1F497D" w:themeColor="text2"/>
                <w:sz w:val="20"/>
                <w:szCs w:val="20"/>
              </w:rPr>
            </w:pPr>
            <w:r w:rsidRPr="004E4CF1">
              <w:rPr>
                <w:rFonts w:asciiTheme="majorHAnsi" w:hAnsiTheme="majorHAnsi"/>
                <w:color w:val="1F497D" w:themeColor="text2"/>
                <w:sz w:val="20"/>
                <w:szCs w:val="20"/>
              </w:rPr>
              <w:t>Christchurch</w:t>
            </w:r>
          </w:p>
        </w:tc>
      </w:tr>
      <w:tr w:rsidR="004E4CF1" w:rsidRPr="004E4CF1" w:rsidTr="000A1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5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:rsidR="004E4CF1" w:rsidRPr="004E4CF1" w:rsidRDefault="004E4CF1" w:rsidP="000A1D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sz w:val="20"/>
                <w:szCs w:val="20"/>
              </w:rPr>
            </w:pPr>
            <w:r w:rsidRPr="004E4CF1">
              <w:rPr>
                <w:rFonts w:asciiTheme="majorHAnsi" w:hAnsiTheme="majorHAnsi"/>
                <w:sz w:val="20"/>
                <w:szCs w:val="20"/>
              </w:rPr>
              <w:t>All property types</w:t>
            </w:r>
          </w:p>
        </w:tc>
        <w:tc>
          <w:tcPr>
            <w:tcW w:w="1971" w:type="dxa"/>
          </w:tcPr>
          <w:p w:rsidR="004E4CF1" w:rsidRPr="004E4CF1" w:rsidRDefault="004E4CF1" w:rsidP="000A1D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4E4CF1">
              <w:rPr>
                <w:rFonts w:asciiTheme="majorHAnsi" w:hAnsiTheme="majorHAnsi"/>
                <w:sz w:val="20"/>
                <w:szCs w:val="20"/>
              </w:rPr>
              <w:t>$400</w:t>
            </w:r>
            <w:r w:rsidRPr="004E4CF1">
              <w:rPr>
                <w:rFonts w:asciiTheme="majorHAnsi" w:hAnsiTheme="majorHAnsi"/>
                <w:sz w:val="20"/>
                <w:szCs w:val="20"/>
              </w:rPr>
              <w:br/>
              <w:t>+ 5.3%</w:t>
            </w:r>
          </w:p>
        </w:tc>
        <w:tc>
          <w:tcPr>
            <w:tcW w:w="1971" w:type="dxa"/>
          </w:tcPr>
          <w:p w:rsidR="004E4CF1" w:rsidRPr="004E4CF1" w:rsidRDefault="004E4CF1" w:rsidP="000A1D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4E4CF1">
              <w:rPr>
                <w:rFonts w:asciiTheme="majorHAnsi" w:hAnsiTheme="majorHAnsi"/>
                <w:sz w:val="20"/>
                <w:szCs w:val="20"/>
              </w:rPr>
              <w:t>$460</w:t>
            </w:r>
            <w:r w:rsidRPr="004E4CF1">
              <w:rPr>
                <w:rFonts w:asciiTheme="majorHAnsi" w:hAnsiTheme="majorHAnsi"/>
                <w:sz w:val="20"/>
                <w:szCs w:val="20"/>
              </w:rPr>
              <w:br/>
              <w:t>+ 2.2%</w:t>
            </w:r>
          </w:p>
        </w:tc>
        <w:tc>
          <w:tcPr>
            <w:tcW w:w="1971" w:type="dxa"/>
          </w:tcPr>
          <w:p w:rsidR="004E4CF1" w:rsidRPr="004E4CF1" w:rsidRDefault="004E4CF1" w:rsidP="000A1D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4E4CF1">
              <w:rPr>
                <w:rFonts w:asciiTheme="majorHAnsi" w:hAnsiTheme="majorHAnsi"/>
                <w:sz w:val="20"/>
                <w:szCs w:val="20"/>
              </w:rPr>
              <w:t>$380</w:t>
            </w:r>
            <w:r w:rsidRPr="004E4CF1">
              <w:rPr>
                <w:rFonts w:asciiTheme="majorHAnsi" w:hAnsiTheme="majorHAnsi"/>
                <w:sz w:val="20"/>
                <w:szCs w:val="20"/>
              </w:rPr>
              <w:br/>
              <w:t>+ 2.7%</w:t>
            </w:r>
          </w:p>
        </w:tc>
        <w:tc>
          <w:tcPr>
            <w:tcW w:w="1971" w:type="dxa"/>
          </w:tcPr>
          <w:p w:rsidR="004E4CF1" w:rsidRPr="004E4CF1" w:rsidRDefault="004E4CF1" w:rsidP="000A1D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4E4CF1">
              <w:rPr>
                <w:rFonts w:asciiTheme="majorHAnsi" w:hAnsiTheme="majorHAnsi"/>
                <w:sz w:val="20"/>
                <w:szCs w:val="20"/>
              </w:rPr>
              <w:t>$450</w:t>
            </w:r>
            <w:r w:rsidRPr="004E4CF1">
              <w:rPr>
                <w:rFonts w:asciiTheme="majorHAnsi" w:hAnsiTheme="majorHAnsi"/>
                <w:sz w:val="20"/>
                <w:szCs w:val="20"/>
              </w:rPr>
              <w:br/>
              <w:t>+ 5.9%</w:t>
            </w:r>
          </w:p>
        </w:tc>
      </w:tr>
      <w:tr w:rsidR="004E4CF1" w:rsidRPr="004E4CF1" w:rsidTr="000A1DAC">
        <w:trPr>
          <w:tblCellSpacing w:w="5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:rsidR="004E4CF1" w:rsidRPr="004E4CF1" w:rsidRDefault="004E4CF1" w:rsidP="000A1D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sz w:val="20"/>
                <w:szCs w:val="20"/>
              </w:rPr>
            </w:pPr>
            <w:r w:rsidRPr="004E4CF1">
              <w:rPr>
                <w:rFonts w:asciiTheme="majorHAnsi" w:hAnsiTheme="majorHAnsi"/>
                <w:sz w:val="20"/>
                <w:szCs w:val="20"/>
              </w:rPr>
              <w:t>Large houses</w:t>
            </w:r>
            <w:r w:rsidRPr="004E4CF1">
              <w:rPr>
                <w:rFonts w:asciiTheme="majorHAnsi" w:hAnsiTheme="majorHAnsi"/>
                <w:sz w:val="20"/>
                <w:szCs w:val="20"/>
              </w:rPr>
              <w:br/>
            </w:r>
            <w:r w:rsidRPr="004E4CF1">
              <w:rPr>
                <w:rFonts w:asciiTheme="majorHAnsi" w:hAnsiTheme="majorHAnsi"/>
                <w:b w:val="0"/>
                <w:sz w:val="20"/>
                <w:szCs w:val="20"/>
              </w:rPr>
              <w:t>5+ bedrooms</w:t>
            </w:r>
          </w:p>
        </w:tc>
        <w:tc>
          <w:tcPr>
            <w:tcW w:w="1971" w:type="dxa"/>
          </w:tcPr>
          <w:p w:rsidR="004E4CF1" w:rsidRPr="004E4CF1" w:rsidRDefault="004E4CF1" w:rsidP="000A1D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4E4CF1">
              <w:rPr>
                <w:rFonts w:asciiTheme="majorHAnsi" w:hAnsiTheme="majorHAnsi"/>
                <w:sz w:val="20"/>
                <w:szCs w:val="20"/>
              </w:rPr>
              <w:t>$650</w:t>
            </w:r>
            <w:r w:rsidRPr="004E4CF1">
              <w:rPr>
                <w:rFonts w:asciiTheme="majorHAnsi" w:hAnsiTheme="majorHAnsi"/>
                <w:sz w:val="20"/>
                <w:szCs w:val="20"/>
              </w:rPr>
              <w:br/>
              <w:t>+ 8.3%</w:t>
            </w:r>
          </w:p>
        </w:tc>
        <w:tc>
          <w:tcPr>
            <w:tcW w:w="1971" w:type="dxa"/>
          </w:tcPr>
          <w:p w:rsidR="004E4CF1" w:rsidRPr="004E4CF1" w:rsidRDefault="004E4CF1" w:rsidP="000A1D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4E4CF1">
              <w:rPr>
                <w:rFonts w:asciiTheme="majorHAnsi" w:hAnsiTheme="majorHAnsi"/>
                <w:sz w:val="20"/>
                <w:szCs w:val="20"/>
              </w:rPr>
              <w:t>$720</w:t>
            </w:r>
            <w:r w:rsidRPr="004E4CF1">
              <w:rPr>
                <w:rFonts w:asciiTheme="majorHAnsi" w:hAnsiTheme="majorHAnsi"/>
                <w:sz w:val="20"/>
                <w:szCs w:val="20"/>
              </w:rPr>
              <w:br/>
              <w:t>+ 4.3%</w:t>
            </w:r>
          </w:p>
        </w:tc>
        <w:tc>
          <w:tcPr>
            <w:tcW w:w="1971" w:type="dxa"/>
          </w:tcPr>
          <w:p w:rsidR="004E4CF1" w:rsidRPr="004E4CF1" w:rsidRDefault="004E4CF1" w:rsidP="000A1D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4E4CF1">
              <w:rPr>
                <w:rFonts w:asciiTheme="majorHAnsi" w:hAnsiTheme="majorHAnsi"/>
                <w:color w:val="auto"/>
                <w:sz w:val="20"/>
                <w:szCs w:val="20"/>
              </w:rPr>
              <w:t>$680</w:t>
            </w:r>
            <w:r w:rsidRPr="004E4CF1">
              <w:rPr>
                <w:rFonts w:asciiTheme="majorHAnsi" w:hAnsiTheme="majorHAnsi"/>
                <w:color w:val="auto"/>
                <w:sz w:val="20"/>
                <w:szCs w:val="20"/>
              </w:rPr>
              <w:br/>
              <w:t>- 2.9%</w:t>
            </w:r>
            <w:r w:rsidRPr="004E4CF1">
              <w:rPr>
                <w:rFonts w:asciiTheme="majorHAnsi" w:hAnsiTheme="majorHAnsi"/>
                <w:color w:val="auto"/>
                <w:sz w:val="20"/>
                <w:szCs w:val="20"/>
              </w:rPr>
              <w:tab/>
            </w:r>
          </w:p>
        </w:tc>
        <w:tc>
          <w:tcPr>
            <w:tcW w:w="1971" w:type="dxa"/>
          </w:tcPr>
          <w:p w:rsidR="004E4CF1" w:rsidRPr="004E4CF1" w:rsidRDefault="004E4CF1" w:rsidP="000A1D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4E4CF1">
              <w:rPr>
                <w:rFonts w:asciiTheme="majorHAnsi" w:hAnsiTheme="majorHAnsi"/>
                <w:sz w:val="20"/>
                <w:szCs w:val="20"/>
              </w:rPr>
              <w:t>$695</w:t>
            </w:r>
            <w:r w:rsidRPr="004E4CF1">
              <w:rPr>
                <w:rFonts w:asciiTheme="majorHAnsi" w:hAnsiTheme="majorHAnsi"/>
                <w:sz w:val="20"/>
                <w:szCs w:val="20"/>
              </w:rPr>
              <w:br/>
              <w:t>- 0.7%</w:t>
            </w:r>
          </w:p>
        </w:tc>
      </w:tr>
      <w:tr w:rsidR="004E4CF1" w:rsidRPr="004E4CF1" w:rsidTr="000A1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5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:rsidR="004E4CF1" w:rsidRPr="004E4CF1" w:rsidRDefault="004E4CF1" w:rsidP="000A1D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sz w:val="20"/>
                <w:szCs w:val="20"/>
              </w:rPr>
            </w:pPr>
            <w:r w:rsidRPr="004E4CF1">
              <w:rPr>
                <w:rFonts w:asciiTheme="majorHAnsi" w:hAnsiTheme="majorHAnsi"/>
                <w:sz w:val="20"/>
                <w:szCs w:val="20"/>
              </w:rPr>
              <w:t>Medium houses</w:t>
            </w:r>
          </w:p>
          <w:p w:rsidR="004E4CF1" w:rsidRPr="004E4CF1" w:rsidRDefault="004E4CF1" w:rsidP="000A1D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4E4CF1">
              <w:rPr>
                <w:rFonts w:asciiTheme="majorHAnsi" w:hAnsiTheme="majorHAnsi"/>
                <w:b w:val="0"/>
                <w:sz w:val="20"/>
                <w:szCs w:val="20"/>
              </w:rPr>
              <w:t>3-4 bedrooms</w:t>
            </w:r>
          </w:p>
        </w:tc>
        <w:tc>
          <w:tcPr>
            <w:tcW w:w="1971" w:type="dxa"/>
          </w:tcPr>
          <w:p w:rsidR="004E4CF1" w:rsidRPr="004E4CF1" w:rsidRDefault="004E4CF1" w:rsidP="000A1D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4E4CF1">
              <w:rPr>
                <w:rFonts w:asciiTheme="majorHAnsi" w:hAnsiTheme="majorHAnsi"/>
                <w:sz w:val="20"/>
                <w:szCs w:val="20"/>
              </w:rPr>
              <w:t>$450</w:t>
            </w:r>
            <w:r w:rsidRPr="004E4CF1">
              <w:rPr>
                <w:rFonts w:asciiTheme="majorHAnsi" w:hAnsiTheme="majorHAnsi"/>
                <w:sz w:val="20"/>
                <w:szCs w:val="20"/>
              </w:rPr>
              <w:br/>
              <w:t>+ 9.8%</w:t>
            </w:r>
          </w:p>
        </w:tc>
        <w:tc>
          <w:tcPr>
            <w:tcW w:w="1971" w:type="dxa"/>
          </w:tcPr>
          <w:p w:rsidR="004E4CF1" w:rsidRPr="004E4CF1" w:rsidRDefault="004E4CF1" w:rsidP="000A1D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4E4CF1">
              <w:rPr>
                <w:rFonts w:asciiTheme="majorHAnsi" w:hAnsiTheme="majorHAnsi"/>
                <w:sz w:val="20"/>
                <w:szCs w:val="20"/>
              </w:rPr>
              <w:t>$520</w:t>
            </w:r>
            <w:r w:rsidRPr="004E4CF1">
              <w:rPr>
                <w:rFonts w:asciiTheme="majorHAnsi" w:hAnsiTheme="majorHAnsi"/>
                <w:sz w:val="20"/>
                <w:szCs w:val="20"/>
              </w:rPr>
              <w:br/>
              <w:t>+ 4.0%</w:t>
            </w:r>
          </w:p>
        </w:tc>
        <w:tc>
          <w:tcPr>
            <w:tcW w:w="1971" w:type="dxa"/>
          </w:tcPr>
          <w:p w:rsidR="004E4CF1" w:rsidRPr="004E4CF1" w:rsidRDefault="004E4CF1" w:rsidP="000A1D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4E4CF1">
              <w:rPr>
                <w:rFonts w:asciiTheme="majorHAnsi" w:hAnsiTheme="majorHAnsi"/>
                <w:sz w:val="20"/>
                <w:szCs w:val="20"/>
              </w:rPr>
              <w:t>$440</w:t>
            </w:r>
            <w:r w:rsidRPr="004E4CF1">
              <w:rPr>
                <w:rFonts w:asciiTheme="majorHAnsi" w:hAnsiTheme="majorHAnsi"/>
                <w:sz w:val="20"/>
                <w:szCs w:val="20"/>
              </w:rPr>
              <w:br/>
              <w:t>+ 10.0%</w:t>
            </w:r>
          </w:p>
        </w:tc>
        <w:tc>
          <w:tcPr>
            <w:tcW w:w="1971" w:type="dxa"/>
          </w:tcPr>
          <w:p w:rsidR="004E4CF1" w:rsidRPr="004E4CF1" w:rsidRDefault="004E4CF1" w:rsidP="000A1D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4E4CF1">
              <w:rPr>
                <w:rFonts w:asciiTheme="majorHAnsi" w:hAnsiTheme="majorHAnsi"/>
                <w:sz w:val="20"/>
                <w:szCs w:val="20"/>
              </w:rPr>
              <w:t>$500</w:t>
            </w:r>
            <w:r w:rsidRPr="004E4CF1">
              <w:rPr>
                <w:rFonts w:asciiTheme="majorHAnsi" w:hAnsiTheme="majorHAnsi"/>
                <w:sz w:val="20"/>
                <w:szCs w:val="20"/>
              </w:rPr>
              <w:br/>
              <w:t>+ 4.2%</w:t>
            </w:r>
          </w:p>
        </w:tc>
      </w:tr>
      <w:tr w:rsidR="004E4CF1" w:rsidRPr="004E4CF1" w:rsidTr="000A1DAC">
        <w:trPr>
          <w:trHeight w:val="242"/>
          <w:tblCellSpacing w:w="5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:rsidR="004E4CF1" w:rsidRPr="004E4CF1" w:rsidRDefault="004E4CF1" w:rsidP="000A1D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sz w:val="20"/>
                <w:szCs w:val="20"/>
              </w:rPr>
            </w:pPr>
            <w:r w:rsidRPr="004E4CF1">
              <w:rPr>
                <w:rFonts w:asciiTheme="majorHAnsi" w:hAnsiTheme="majorHAnsi"/>
                <w:sz w:val="20"/>
                <w:szCs w:val="20"/>
              </w:rPr>
              <w:t>Small houses</w:t>
            </w:r>
          </w:p>
          <w:p w:rsidR="004E4CF1" w:rsidRPr="004E4CF1" w:rsidRDefault="004E4CF1" w:rsidP="000A1D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4E4CF1">
              <w:rPr>
                <w:rFonts w:asciiTheme="majorHAnsi" w:hAnsiTheme="majorHAnsi"/>
                <w:b w:val="0"/>
                <w:sz w:val="20"/>
                <w:szCs w:val="20"/>
              </w:rPr>
              <w:t>1-2 bedrooms</w:t>
            </w:r>
          </w:p>
        </w:tc>
        <w:tc>
          <w:tcPr>
            <w:tcW w:w="1971" w:type="dxa"/>
          </w:tcPr>
          <w:p w:rsidR="004E4CF1" w:rsidRPr="004E4CF1" w:rsidRDefault="004E4CF1" w:rsidP="000A1D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4E4CF1">
              <w:rPr>
                <w:rFonts w:asciiTheme="majorHAnsi" w:hAnsiTheme="majorHAnsi"/>
                <w:sz w:val="20"/>
                <w:szCs w:val="20"/>
              </w:rPr>
              <w:t>$320</w:t>
            </w:r>
            <w:r w:rsidRPr="004E4CF1">
              <w:rPr>
                <w:rFonts w:asciiTheme="majorHAnsi" w:hAnsiTheme="majorHAnsi"/>
                <w:sz w:val="20"/>
                <w:szCs w:val="20"/>
              </w:rPr>
              <w:br/>
              <w:t>+ 8.5%</w:t>
            </w:r>
            <w:r w:rsidRPr="004E4CF1">
              <w:rPr>
                <w:rFonts w:asciiTheme="majorHAnsi" w:hAnsiTheme="majorHAnsi"/>
                <w:sz w:val="20"/>
                <w:szCs w:val="20"/>
              </w:rPr>
              <w:tab/>
            </w:r>
          </w:p>
        </w:tc>
        <w:tc>
          <w:tcPr>
            <w:tcW w:w="1971" w:type="dxa"/>
          </w:tcPr>
          <w:p w:rsidR="004E4CF1" w:rsidRPr="004E4CF1" w:rsidRDefault="004E4CF1" w:rsidP="000A1D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4E4CF1">
              <w:rPr>
                <w:rFonts w:asciiTheme="majorHAnsi" w:hAnsiTheme="majorHAnsi"/>
                <w:sz w:val="20"/>
                <w:szCs w:val="20"/>
              </w:rPr>
              <w:t>$385</w:t>
            </w:r>
            <w:r w:rsidRPr="004E4CF1">
              <w:rPr>
                <w:rFonts w:asciiTheme="majorHAnsi" w:hAnsiTheme="majorHAnsi"/>
                <w:sz w:val="20"/>
                <w:szCs w:val="20"/>
              </w:rPr>
              <w:br/>
              <w:t>+ 4.1%</w:t>
            </w:r>
          </w:p>
        </w:tc>
        <w:tc>
          <w:tcPr>
            <w:tcW w:w="1971" w:type="dxa"/>
          </w:tcPr>
          <w:p w:rsidR="004E4CF1" w:rsidRPr="004E4CF1" w:rsidRDefault="004E4CF1" w:rsidP="000A1D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4E4CF1">
              <w:rPr>
                <w:rFonts w:asciiTheme="majorHAnsi" w:hAnsiTheme="majorHAnsi"/>
                <w:sz w:val="20"/>
                <w:szCs w:val="20"/>
              </w:rPr>
              <w:t>$325</w:t>
            </w:r>
            <w:r w:rsidRPr="004E4CF1">
              <w:rPr>
                <w:rFonts w:asciiTheme="majorHAnsi" w:hAnsiTheme="majorHAnsi"/>
                <w:sz w:val="20"/>
                <w:szCs w:val="20"/>
              </w:rPr>
              <w:br/>
              <w:t>+ 5.7%</w:t>
            </w:r>
            <w:r w:rsidRPr="004E4CF1">
              <w:rPr>
                <w:rFonts w:asciiTheme="majorHAnsi" w:hAnsiTheme="majorHAnsi"/>
                <w:sz w:val="20"/>
                <w:szCs w:val="20"/>
              </w:rPr>
              <w:tab/>
            </w:r>
          </w:p>
        </w:tc>
        <w:tc>
          <w:tcPr>
            <w:tcW w:w="1971" w:type="dxa"/>
          </w:tcPr>
          <w:p w:rsidR="004E4CF1" w:rsidRPr="004E4CF1" w:rsidRDefault="004E4CF1" w:rsidP="000A1D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4E4CF1">
              <w:rPr>
                <w:rFonts w:asciiTheme="majorHAnsi" w:hAnsiTheme="majorHAnsi"/>
                <w:sz w:val="20"/>
                <w:szCs w:val="20"/>
              </w:rPr>
              <w:t>$360</w:t>
            </w:r>
            <w:r w:rsidRPr="004E4CF1">
              <w:rPr>
                <w:rFonts w:asciiTheme="majorHAnsi" w:hAnsiTheme="majorHAnsi"/>
                <w:sz w:val="20"/>
                <w:szCs w:val="20"/>
              </w:rPr>
              <w:br/>
              <w:t>No change</w:t>
            </w:r>
          </w:p>
        </w:tc>
      </w:tr>
    </w:tbl>
    <w:p w:rsidR="004E4CF1" w:rsidRPr="004E4CF1" w:rsidRDefault="004E4CF1" w:rsidP="004E4CF1">
      <w:pPr>
        <w:pStyle w:val="Body"/>
        <w:rPr>
          <w:rFonts w:asciiTheme="majorHAnsi" w:hAnsiTheme="majorHAnsi"/>
          <w:i/>
          <w:sz w:val="20"/>
          <w:szCs w:val="20"/>
        </w:rPr>
      </w:pPr>
    </w:p>
    <w:p w:rsidR="009338CE" w:rsidRDefault="009338CE" w:rsidP="004E4CF1">
      <w:pPr>
        <w:pStyle w:val="Body"/>
        <w:rPr>
          <w:rFonts w:asciiTheme="majorHAnsi" w:hAnsiTheme="majorHAnsi"/>
          <w:b/>
        </w:rPr>
      </w:pPr>
    </w:p>
    <w:p w:rsidR="004E4CF1" w:rsidRPr="004E4CF1" w:rsidRDefault="004E4CF1" w:rsidP="004E4CF1">
      <w:pPr>
        <w:pStyle w:val="Body"/>
        <w:rPr>
          <w:rFonts w:asciiTheme="majorHAnsi" w:hAnsiTheme="majorHAnsi"/>
          <w:b/>
        </w:rPr>
      </w:pPr>
      <w:r w:rsidRPr="004E4CF1">
        <w:rPr>
          <w:rFonts w:asciiTheme="majorHAnsi" w:hAnsiTheme="majorHAnsi"/>
          <w:b/>
        </w:rPr>
        <w:t>Townhouses</w:t>
      </w:r>
      <w:r>
        <w:rPr>
          <w:rFonts w:asciiTheme="majorHAnsi" w:hAnsiTheme="majorHAnsi"/>
          <w:b/>
        </w:rPr>
        <w:t xml:space="preserve"> see strong lift</w:t>
      </w:r>
    </w:p>
    <w:p w:rsidR="004E4CF1" w:rsidRPr="004E4CF1" w:rsidRDefault="004E4CF1" w:rsidP="004E4CF1">
      <w:pPr>
        <w:pStyle w:val="Body"/>
        <w:rPr>
          <w:rFonts w:asciiTheme="majorHAnsi" w:hAnsiTheme="majorHAnsi"/>
          <w:i/>
        </w:rPr>
      </w:pPr>
    </w:p>
    <w:p w:rsidR="009338CE" w:rsidRDefault="006E1AA6" w:rsidP="009B6A01">
      <w:pPr>
        <w:jc w:val="both"/>
        <w:rPr>
          <w:rFonts w:asciiTheme="majorHAnsi" w:hAnsiTheme="majorHAnsi"/>
          <w:sz w:val="22"/>
          <w:szCs w:val="22"/>
        </w:rPr>
      </w:pPr>
      <w:r w:rsidRPr="004E4CF1">
        <w:rPr>
          <w:rFonts w:asciiTheme="majorHAnsi" w:hAnsiTheme="majorHAnsi"/>
          <w:sz w:val="22"/>
          <w:szCs w:val="22"/>
        </w:rPr>
        <w:t xml:space="preserve">Townhouses reached a new high </w:t>
      </w:r>
      <w:r w:rsidR="004E4CF1">
        <w:rPr>
          <w:rFonts w:asciiTheme="majorHAnsi" w:hAnsiTheme="majorHAnsi"/>
          <w:sz w:val="22"/>
          <w:szCs w:val="22"/>
        </w:rPr>
        <w:t xml:space="preserve">with a national median rent of </w:t>
      </w:r>
      <w:r w:rsidR="000676D7" w:rsidRPr="004E4CF1">
        <w:rPr>
          <w:rFonts w:asciiTheme="majorHAnsi" w:hAnsiTheme="majorHAnsi"/>
          <w:sz w:val="22"/>
          <w:szCs w:val="22"/>
        </w:rPr>
        <w:t>$450</w:t>
      </w:r>
      <w:r w:rsidR="000411BA" w:rsidRPr="004E4CF1">
        <w:rPr>
          <w:rFonts w:asciiTheme="majorHAnsi" w:hAnsiTheme="majorHAnsi"/>
          <w:sz w:val="22"/>
          <w:szCs w:val="22"/>
        </w:rPr>
        <w:t xml:space="preserve"> </w:t>
      </w:r>
      <w:r w:rsidR="004E4CF1">
        <w:rPr>
          <w:rFonts w:asciiTheme="majorHAnsi" w:hAnsiTheme="majorHAnsi"/>
          <w:sz w:val="22"/>
          <w:szCs w:val="22"/>
        </w:rPr>
        <w:t>per</w:t>
      </w:r>
      <w:r w:rsidR="000411BA" w:rsidRPr="004E4CF1">
        <w:rPr>
          <w:rFonts w:asciiTheme="majorHAnsi" w:hAnsiTheme="majorHAnsi"/>
          <w:sz w:val="22"/>
          <w:szCs w:val="22"/>
        </w:rPr>
        <w:t xml:space="preserve"> week,</w:t>
      </w:r>
      <w:r w:rsidR="000676D7" w:rsidRPr="004E4CF1">
        <w:rPr>
          <w:rFonts w:asciiTheme="majorHAnsi" w:hAnsiTheme="majorHAnsi"/>
          <w:sz w:val="22"/>
          <w:szCs w:val="22"/>
        </w:rPr>
        <w:t xml:space="preserve"> up 7</w:t>
      </w:r>
      <w:r w:rsidR="004E4CF1">
        <w:rPr>
          <w:rFonts w:asciiTheme="majorHAnsi" w:hAnsiTheme="majorHAnsi"/>
          <w:sz w:val="22"/>
          <w:szCs w:val="22"/>
        </w:rPr>
        <w:t xml:space="preserve"> </w:t>
      </w:r>
      <w:r w:rsidR="000676D7" w:rsidRPr="004E4CF1">
        <w:rPr>
          <w:rFonts w:asciiTheme="majorHAnsi" w:hAnsiTheme="majorHAnsi"/>
          <w:sz w:val="22"/>
          <w:szCs w:val="22"/>
        </w:rPr>
        <w:t>per cent</w:t>
      </w:r>
      <w:r w:rsidRPr="004E4CF1">
        <w:rPr>
          <w:rFonts w:asciiTheme="majorHAnsi" w:hAnsiTheme="majorHAnsi"/>
          <w:sz w:val="22"/>
          <w:szCs w:val="22"/>
        </w:rPr>
        <w:t xml:space="preserve"> as compared to last year</w:t>
      </w:r>
      <w:r w:rsidR="000411BA" w:rsidRPr="004E4CF1">
        <w:rPr>
          <w:rFonts w:asciiTheme="majorHAnsi" w:hAnsiTheme="majorHAnsi"/>
          <w:sz w:val="22"/>
          <w:szCs w:val="22"/>
        </w:rPr>
        <w:t xml:space="preserve">. </w:t>
      </w:r>
    </w:p>
    <w:p w:rsidR="009338CE" w:rsidRDefault="009338CE" w:rsidP="009B6A01">
      <w:pPr>
        <w:jc w:val="both"/>
        <w:rPr>
          <w:rFonts w:asciiTheme="majorHAnsi" w:hAnsiTheme="majorHAnsi"/>
          <w:sz w:val="22"/>
          <w:szCs w:val="22"/>
        </w:rPr>
      </w:pPr>
    </w:p>
    <w:p w:rsidR="006E1AA6" w:rsidRPr="004E4CF1" w:rsidRDefault="009338CE" w:rsidP="009B6A01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</w:t>
      </w:r>
      <w:r w:rsidR="006E1AA6" w:rsidRPr="004E4CF1">
        <w:rPr>
          <w:rFonts w:asciiTheme="majorHAnsi" w:hAnsiTheme="majorHAnsi"/>
          <w:sz w:val="22"/>
          <w:szCs w:val="22"/>
        </w:rPr>
        <w:t>he unit market remains strong with national weekly rents at $310</w:t>
      </w:r>
      <w:r>
        <w:rPr>
          <w:rFonts w:asciiTheme="majorHAnsi" w:hAnsiTheme="majorHAnsi"/>
          <w:sz w:val="22"/>
          <w:szCs w:val="22"/>
        </w:rPr>
        <w:t xml:space="preserve"> per week</w:t>
      </w:r>
      <w:r w:rsidR="000411BA" w:rsidRPr="004E4CF1">
        <w:rPr>
          <w:rFonts w:asciiTheme="majorHAnsi" w:hAnsiTheme="majorHAnsi"/>
          <w:sz w:val="22"/>
          <w:szCs w:val="22"/>
        </w:rPr>
        <w:t>,</w:t>
      </w:r>
      <w:r w:rsidR="006E1AA6" w:rsidRPr="004E4CF1">
        <w:rPr>
          <w:rFonts w:asciiTheme="majorHAnsi" w:hAnsiTheme="majorHAnsi"/>
          <w:sz w:val="22"/>
          <w:szCs w:val="22"/>
        </w:rPr>
        <w:t xml:space="preserve"> down just $10 fr</w:t>
      </w:r>
      <w:r w:rsidR="000676D7" w:rsidRPr="004E4CF1">
        <w:rPr>
          <w:rFonts w:asciiTheme="majorHAnsi" w:hAnsiTheme="majorHAnsi"/>
          <w:sz w:val="22"/>
          <w:szCs w:val="22"/>
        </w:rPr>
        <w:t xml:space="preserve">om the </w:t>
      </w:r>
      <w:r>
        <w:rPr>
          <w:rFonts w:asciiTheme="majorHAnsi" w:hAnsiTheme="majorHAnsi"/>
          <w:sz w:val="22"/>
          <w:szCs w:val="22"/>
        </w:rPr>
        <w:t xml:space="preserve">record </w:t>
      </w:r>
      <w:r w:rsidR="000676D7" w:rsidRPr="004E4CF1">
        <w:rPr>
          <w:rFonts w:asciiTheme="majorHAnsi" w:hAnsiTheme="majorHAnsi"/>
          <w:sz w:val="22"/>
          <w:szCs w:val="22"/>
        </w:rPr>
        <w:t>high in October. I</w:t>
      </w:r>
      <w:r w:rsidR="006E1AA6" w:rsidRPr="004E4CF1">
        <w:rPr>
          <w:rFonts w:asciiTheme="majorHAnsi" w:hAnsiTheme="majorHAnsi"/>
          <w:sz w:val="22"/>
          <w:szCs w:val="22"/>
        </w:rPr>
        <w:t>n Christchurch</w:t>
      </w:r>
      <w:r>
        <w:rPr>
          <w:rFonts w:asciiTheme="majorHAnsi" w:hAnsiTheme="majorHAnsi"/>
          <w:sz w:val="22"/>
          <w:szCs w:val="22"/>
        </w:rPr>
        <w:t>,</w:t>
      </w:r>
      <w:r w:rsidR="006E1AA6" w:rsidRPr="004E4CF1">
        <w:rPr>
          <w:rFonts w:asciiTheme="majorHAnsi" w:hAnsiTheme="majorHAnsi"/>
          <w:sz w:val="22"/>
          <w:szCs w:val="22"/>
        </w:rPr>
        <w:t xml:space="preserve"> the pressure has pushed this segment of the market to a new high</w:t>
      </w:r>
      <w:r w:rsidR="000676D7" w:rsidRPr="004E4CF1">
        <w:rPr>
          <w:rFonts w:asciiTheme="majorHAnsi" w:hAnsiTheme="majorHAnsi"/>
          <w:sz w:val="22"/>
          <w:szCs w:val="22"/>
        </w:rPr>
        <w:t xml:space="preserve"> of $340</w:t>
      </w:r>
      <w:r w:rsidR="000411BA" w:rsidRPr="004E4CF1">
        <w:rPr>
          <w:rFonts w:asciiTheme="majorHAnsi" w:hAnsiTheme="majorHAnsi"/>
          <w:sz w:val="22"/>
          <w:szCs w:val="22"/>
        </w:rPr>
        <w:t>,</w:t>
      </w:r>
      <w:r w:rsidR="000676D7" w:rsidRPr="004E4CF1">
        <w:rPr>
          <w:rFonts w:asciiTheme="majorHAnsi" w:hAnsiTheme="majorHAnsi"/>
          <w:sz w:val="22"/>
          <w:szCs w:val="22"/>
        </w:rPr>
        <w:t xml:space="preserve"> up 6 per cent</w:t>
      </w:r>
      <w:r w:rsidR="006E1AA6" w:rsidRPr="004E4CF1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on </w:t>
      </w:r>
      <w:r w:rsidR="006E1AA6" w:rsidRPr="004E4CF1">
        <w:rPr>
          <w:rFonts w:asciiTheme="majorHAnsi" w:hAnsiTheme="majorHAnsi"/>
          <w:sz w:val="22"/>
          <w:szCs w:val="22"/>
        </w:rPr>
        <w:t>a year ago.</w:t>
      </w:r>
    </w:p>
    <w:p w:rsidR="009B6A01" w:rsidRPr="004E4CF1" w:rsidRDefault="009B6A01" w:rsidP="009B6A01">
      <w:pPr>
        <w:jc w:val="both"/>
        <w:rPr>
          <w:rFonts w:asciiTheme="majorHAnsi" w:hAnsiTheme="majorHAnsi"/>
          <w:sz w:val="22"/>
          <w:szCs w:val="22"/>
        </w:rPr>
      </w:pPr>
    </w:p>
    <w:p w:rsidR="004E4CF1" w:rsidRPr="004E4CF1" w:rsidRDefault="004E4CF1" w:rsidP="004E4CF1">
      <w:pPr>
        <w:pStyle w:val="Body"/>
        <w:rPr>
          <w:rFonts w:asciiTheme="majorHAnsi" w:hAnsiTheme="majorHAnsi"/>
          <w:i/>
        </w:rPr>
      </w:pPr>
      <w:r w:rsidRPr="004E4CF1">
        <w:rPr>
          <w:rFonts w:asciiTheme="majorHAnsi" w:hAnsiTheme="majorHAnsi"/>
          <w:i/>
        </w:rPr>
        <w:t>Table 2: Median weekly rent by property type &amp; region</w:t>
      </w:r>
    </w:p>
    <w:p w:rsidR="004E4CF1" w:rsidRPr="004E4CF1" w:rsidRDefault="004E4CF1" w:rsidP="004E4CF1">
      <w:pPr>
        <w:pStyle w:val="Body"/>
        <w:rPr>
          <w:rFonts w:asciiTheme="majorHAnsi" w:hAnsiTheme="majorHAnsi"/>
          <w:i/>
          <w:sz w:val="20"/>
          <w:szCs w:val="20"/>
        </w:rPr>
      </w:pPr>
    </w:p>
    <w:tbl>
      <w:tblPr>
        <w:tblStyle w:val="LightShading-Accent1"/>
        <w:tblW w:w="0" w:type="auto"/>
        <w:tblCellSpacing w:w="57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48"/>
        <w:gridCol w:w="1979"/>
        <w:gridCol w:w="1998"/>
        <w:gridCol w:w="1999"/>
        <w:gridCol w:w="2072"/>
      </w:tblGrid>
      <w:tr w:rsidR="004E4CF1" w:rsidRPr="004E4CF1" w:rsidTr="000A1D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CellSpacing w:w="5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</w:tcPr>
          <w:p w:rsidR="004E4CF1" w:rsidRPr="004E4CF1" w:rsidRDefault="004E4CF1" w:rsidP="000A1D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65" w:type="dxa"/>
          </w:tcPr>
          <w:p w:rsidR="004E4CF1" w:rsidRPr="004E4CF1" w:rsidRDefault="004E4CF1" w:rsidP="000A1D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4E4CF1">
              <w:rPr>
                <w:rFonts w:asciiTheme="majorHAnsi" w:hAnsiTheme="majorHAnsi"/>
                <w:sz w:val="20"/>
                <w:szCs w:val="20"/>
              </w:rPr>
              <w:t>New Zealand</w:t>
            </w:r>
          </w:p>
        </w:tc>
        <w:tc>
          <w:tcPr>
            <w:tcW w:w="1884" w:type="dxa"/>
          </w:tcPr>
          <w:p w:rsidR="004E4CF1" w:rsidRPr="004E4CF1" w:rsidRDefault="004E4CF1" w:rsidP="000A1D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4E4CF1">
              <w:rPr>
                <w:rFonts w:asciiTheme="majorHAnsi" w:hAnsiTheme="majorHAnsi"/>
                <w:sz w:val="20"/>
                <w:szCs w:val="20"/>
              </w:rPr>
              <w:t>Auckland</w:t>
            </w:r>
          </w:p>
        </w:tc>
        <w:tc>
          <w:tcPr>
            <w:tcW w:w="1885" w:type="dxa"/>
          </w:tcPr>
          <w:p w:rsidR="004E4CF1" w:rsidRPr="004E4CF1" w:rsidRDefault="004E4CF1" w:rsidP="000A1D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4E4CF1">
              <w:rPr>
                <w:rFonts w:asciiTheme="majorHAnsi" w:hAnsiTheme="majorHAnsi"/>
                <w:sz w:val="20"/>
                <w:szCs w:val="20"/>
              </w:rPr>
              <w:t>Wellington</w:t>
            </w:r>
          </w:p>
        </w:tc>
        <w:tc>
          <w:tcPr>
            <w:tcW w:w="1901" w:type="dxa"/>
          </w:tcPr>
          <w:p w:rsidR="004E4CF1" w:rsidRPr="004E4CF1" w:rsidRDefault="004E4CF1" w:rsidP="000A1D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4E4CF1">
              <w:rPr>
                <w:rFonts w:asciiTheme="majorHAnsi" w:hAnsiTheme="majorHAnsi"/>
                <w:sz w:val="20"/>
                <w:szCs w:val="20"/>
              </w:rPr>
              <w:t>Christchurch</w:t>
            </w:r>
          </w:p>
        </w:tc>
      </w:tr>
      <w:tr w:rsidR="004E4CF1" w:rsidRPr="004E4CF1" w:rsidTr="000A1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5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</w:tcPr>
          <w:p w:rsidR="004E4CF1" w:rsidRPr="004E4CF1" w:rsidRDefault="004E4CF1" w:rsidP="000A1D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E4CF1">
              <w:rPr>
                <w:rFonts w:asciiTheme="majorHAnsi" w:hAnsiTheme="majorHAnsi"/>
                <w:sz w:val="20"/>
                <w:szCs w:val="20"/>
              </w:rPr>
              <w:t>All property types</w:t>
            </w:r>
          </w:p>
        </w:tc>
        <w:tc>
          <w:tcPr>
            <w:tcW w:w="1865" w:type="dxa"/>
          </w:tcPr>
          <w:p w:rsidR="004E4CF1" w:rsidRPr="004E4CF1" w:rsidRDefault="004E4CF1" w:rsidP="000A1D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4E4CF1">
              <w:rPr>
                <w:rFonts w:asciiTheme="majorHAnsi" w:hAnsiTheme="majorHAnsi"/>
                <w:sz w:val="20"/>
                <w:szCs w:val="20"/>
              </w:rPr>
              <w:t>$400</w:t>
            </w:r>
            <w:r w:rsidRPr="004E4CF1">
              <w:rPr>
                <w:rFonts w:asciiTheme="majorHAnsi" w:hAnsiTheme="majorHAnsi"/>
                <w:sz w:val="20"/>
                <w:szCs w:val="20"/>
              </w:rPr>
              <w:br/>
              <w:t>+ 5.3%</w:t>
            </w:r>
          </w:p>
        </w:tc>
        <w:tc>
          <w:tcPr>
            <w:tcW w:w="1884" w:type="dxa"/>
          </w:tcPr>
          <w:p w:rsidR="004E4CF1" w:rsidRPr="004E4CF1" w:rsidRDefault="004E4CF1" w:rsidP="000A1D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4E4CF1">
              <w:rPr>
                <w:rFonts w:asciiTheme="majorHAnsi" w:hAnsiTheme="majorHAnsi"/>
                <w:sz w:val="20"/>
                <w:szCs w:val="20"/>
              </w:rPr>
              <w:t>$460</w:t>
            </w:r>
            <w:r w:rsidRPr="004E4CF1">
              <w:rPr>
                <w:rFonts w:asciiTheme="majorHAnsi" w:hAnsiTheme="majorHAnsi"/>
                <w:sz w:val="20"/>
                <w:szCs w:val="20"/>
              </w:rPr>
              <w:br/>
              <w:t>+ 2.2%</w:t>
            </w:r>
          </w:p>
        </w:tc>
        <w:tc>
          <w:tcPr>
            <w:tcW w:w="1885" w:type="dxa"/>
          </w:tcPr>
          <w:p w:rsidR="004E4CF1" w:rsidRPr="004E4CF1" w:rsidRDefault="004E4CF1" w:rsidP="000A1D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4E4CF1">
              <w:rPr>
                <w:rFonts w:asciiTheme="majorHAnsi" w:hAnsiTheme="majorHAnsi"/>
                <w:sz w:val="20"/>
                <w:szCs w:val="20"/>
              </w:rPr>
              <w:t>$380</w:t>
            </w:r>
            <w:r w:rsidRPr="004E4CF1">
              <w:rPr>
                <w:rFonts w:asciiTheme="majorHAnsi" w:hAnsiTheme="majorHAnsi"/>
                <w:sz w:val="20"/>
                <w:szCs w:val="20"/>
              </w:rPr>
              <w:br/>
              <w:t>+ 2.7%</w:t>
            </w:r>
          </w:p>
        </w:tc>
        <w:tc>
          <w:tcPr>
            <w:tcW w:w="1901" w:type="dxa"/>
          </w:tcPr>
          <w:p w:rsidR="004E4CF1" w:rsidRPr="004E4CF1" w:rsidRDefault="004E4CF1" w:rsidP="000A1D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4E4CF1">
              <w:rPr>
                <w:rFonts w:asciiTheme="majorHAnsi" w:hAnsiTheme="majorHAnsi"/>
                <w:sz w:val="20"/>
                <w:szCs w:val="20"/>
              </w:rPr>
              <w:t>$450</w:t>
            </w:r>
            <w:r w:rsidRPr="004E4CF1">
              <w:rPr>
                <w:rFonts w:asciiTheme="majorHAnsi" w:hAnsiTheme="majorHAnsi"/>
                <w:sz w:val="20"/>
                <w:szCs w:val="20"/>
              </w:rPr>
              <w:br/>
              <w:t>+ 5.9%</w:t>
            </w:r>
          </w:p>
        </w:tc>
      </w:tr>
      <w:tr w:rsidR="004E4CF1" w:rsidRPr="004E4CF1" w:rsidTr="000A1DAC">
        <w:trPr>
          <w:tblCellSpacing w:w="5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</w:tcPr>
          <w:p w:rsidR="004E4CF1" w:rsidRPr="004E4CF1" w:rsidRDefault="004E4CF1" w:rsidP="000A1D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E4CF1">
              <w:rPr>
                <w:rFonts w:asciiTheme="majorHAnsi" w:hAnsiTheme="majorHAnsi"/>
                <w:sz w:val="20"/>
                <w:szCs w:val="20"/>
              </w:rPr>
              <w:t>Apartments</w:t>
            </w:r>
          </w:p>
        </w:tc>
        <w:tc>
          <w:tcPr>
            <w:tcW w:w="1865" w:type="dxa"/>
          </w:tcPr>
          <w:p w:rsidR="004E4CF1" w:rsidRPr="004E4CF1" w:rsidRDefault="004E4CF1" w:rsidP="000A1D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4E4CF1">
              <w:rPr>
                <w:rFonts w:asciiTheme="majorHAnsi" w:hAnsiTheme="majorHAnsi"/>
                <w:sz w:val="20"/>
                <w:szCs w:val="20"/>
              </w:rPr>
              <w:t>$390</w:t>
            </w:r>
            <w:r w:rsidRPr="004E4CF1">
              <w:rPr>
                <w:rFonts w:asciiTheme="majorHAnsi" w:hAnsiTheme="majorHAnsi"/>
                <w:sz w:val="20"/>
                <w:szCs w:val="20"/>
              </w:rPr>
              <w:br/>
              <w:t>+ 2.6%</w:t>
            </w:r>
          </w:p>
        </w:tc>
        <w:tc>
          <w:tcPr>
            <w:tcW w:w="1884" w:type="dxa"/>
          </w:tcPr>
          <w:p w:rsidR="004E4CF1" w:rsidRPr="004E4CF1" w:rsidRDefault="004E4CF1" w:rsidP="000A1D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4E4CF1">
              <w:rPr>
                <w:rFonts w:asciiTheme="majorHAnsi" w:hAnsiTheme="majorHAnsi"/>
                <w:sz w:val="20"/>
                <w:szCs w:val="20"/>
              </w:rPr>
              <w:t>$410</w:t>
            </w:r>
            <w:r w:rsidRPr="004E4CF1">
              <w:rPr>
                <w:rFonts w:asciiTheme="majorHAnsi" w:hAnsiTheme="majorHAnsi"/>
                <w:sz w:val="20"/>
                <w:szCs w:val="20"/>
              </w:rPr>
              <w:br/>
              <w:t>+ 2.5%</w:t>
            </w:r>
          </w:p>
        </w:tc>
        <w:tc>
          <w:tcPr>
            <w:tcW w:w="1885" w:type="dxa"/>
          </w:tcPr>
          <w:p w:rsidR="004E4CF1" w:rsidRPr="004E4CF1" w:rsidRDefault="004E4CF1" w:rsidP="000A1D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4E4CF1">
              <w:rPr>
                <w:rFonts w:asciiTheme="majorHAnsi" w:hAnsiTheme="majorHAnsi"/>
                <w:sz w:val="20"/>
                <w:szCs w:val="20"/>
              </w:rPr>
              <w:t>$400</w:t>
            </w:r>
            <w:r w:rsidRPr="004E4CF1">
              <w:rPr>
                <w:rFonts w:asciiTheme="majorHAnsi" w:hAnsiTheme="majorHAnsi"/>
                <w:sz w:val="20"/>
                <w:szCs w:val="20"/>
              </w:rPr>
              <w:br/>
              <w:t>+ 1.3%</w:t>
            </w:r>
          </w:p>
        </w:tc>
        <w:tc>
          <w:tcPr>
            <w:tcW w:w="1901" w:type="dxa"/>
          </w:tcPr>
          <w:p w:rsidR="004E4CF1" w:rsidRPr="004E4CF1" w:rsidRDefault="004E4CF1" w:rsidP="000A1D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4E4CF1">
              <w:rPr>
                <w:rFonts w:asciiTheme="majorHAnsi" w:hAnsiTheme="majorHAnsi"/>
                <w:sz w:val="20"/>
                <w:szCs w:val="20"/>
              </w:rPr>
              <w:t>$375</w:t>
            </w:r>
            <w:r w:rsidRPr="004E4CF1">
              <w:rPr>
                <w:rFonts w:asciiTheme="majorHAnsi" w:hAnsiTheme="majorHAnsi"/>
                <w:sz w:val="20"/>
                <w:szCs w:val="20"/>
              </w:rPr>
              <w:br/>
              <w:t>+ 2.0%</w:t>
            </w:r>
          </w:p>
        </w:tc>
      </w:tr>
      <w:tr w:rsidR="004E4CF1" w:rsidRPr="004E4CF1" w:rsidTr="000A1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5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</w:tcPr>
          <w:p w:rsidR="004E4CF1" w:rsidRPr="004E4CF1" w:rsidRDefault="004E4CF1" w:rsidP="000A1D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E4CF1">
              <w:rPr>
                <w:rFonts w:asciiTheme="majorHAnsi" w:hAnsiTheme="majorHAnsi"/>
                <w:sz w:val="20"/>
                <w:szCs w:val="20"/>
              </w:rPr>
              <w:t>Townhouses</w:t>
            </w:r>
          </w:p>
        </w:tc>
        <w:tc>
          <w:tcPr>
            <w:tcW w:w="1865" w:type="dxa"/>
          </w:tcPr>
          <w:p w:rsidR="004E4CF1" w:rsidRPr="004E4CF1" w:rsidRDefault="004E4CF1" w:rsidP="000A1D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4E4CF1">
              <w:rPr>
                <w:rFonts w:asciiTheme="majorHAnsi" w:hAnsiTheme="majorHAnsi"/>
                <w:sz w:val="20"/>
                <w:szCs w:val="20"/>
              </w:rPr>
              <w:t>$450</w:t>
            </w:r>
            <w:r w:rsidRPr="004E4CF1">
              <w:rPr>
                <w:rFonts w:asciiTheme="majorHAnsi" w:hAnsiTheme="majorHAnsi"/>
                <w:sz w:val="20"/>
                <w:szCs w:val="20"/>
              </w:rPr>
              <w:br/>
              <w:t>+ 7.1%</w:t>
            </w:r>
          </w:p>
        </w:tc>
        <w:tc>
          <w:tcPr>
            <w:tcW w:w="1884" w:type="dxa"/>
          </w:tcPr>
          <w:p w:rsidR="004E4CF1" w:rsidRPr="004E4CF1" w:rsidRDefault="004E4CF1" w:rsidP="000A1D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4E4CF1">
              <w:rPr>
                <w:rFonts w:asciiTheme="majorHAnsi" w:hAnsiTheme="majorHAnsi"/>
                <w:sz w:val="20"/>
                <w:szCs w:val="20"/>
              </w:rPr>
              <w:t>$500</w:t>
            </w:r>
            <w:r w:rsidRPr="004E4CF1">
              <w:rPr>
                <w:rFonts w:asciiTheme="majorHAnsi" w:hAnsiTheme="majorHAnsi"/>
                <w:sz w:val="20"/>
                <w:szCs w:val="20"/>
              </w:rPr>
              <w:br/>
              <w:t>+ 2.0%</w:t>
            </w:r>
          </w:p>
        </w:tc>
        <w:tc>
          <w:tcPr>
            <w:tcW w:w="1885" w:type="dxa"/>
          </w:tcPr>
          <w:p w:rsidR="004E4CF1" w:rsidRPr="004E4CF1" w:rsidRDefault="004E4CF1" w:rsidP="000A1D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4E4CF1">
              <w:rPr>
                <w:rFonts w:asciiTheme="majorHAnsi" w:hAnsiTheme="majorHAnsi"/>
                <w:color w:val="auto"/>
                <w:sz w:val="20"/>
                <w:szCs w:val="20"/>
              </w:rPr>
              <w:t>$420</w:t>
            </w:r>
            <w:r w:rsidRPr="004E4CF1">
              <w:rPr>
                <w:rFonts w:asciiTheme="majorHAnsi" w:hAnsiTheme="majorHAnsi"/>
                <w:color w:val="auto"/>
                <w:sz w:val="20"/>
                <w:szCs w:val="20"/>
              </w:rPr>
              <w:br/>
              <w:t>+ 5.0%</w:t>
            </w:r>
          </w:p>
        </w:tc>
        <w:tc>
          <w:tcPr>
            <w:tcW w:w="1901" w:type="dxa"/>
          </w:tcPr>
          <w:p w:rsidR="004E4CF1" w:rsidRPr="004E4CF1" w:rsidRDefault="004E4CF1" w:rsidP="000A1D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4E4CF1">
              <w:rPr>
                <w:rFonts w:asciiTheme="majorHAnsi" w:hAnsiTheme="majorHAnsi"/>
                <w:sz w:val="20"/>
                <w:szCs w:val="20"/>
              </w:rPr>
              <w:t>$450</w:t>
            </w:r>
            <w:r w:rsidRPr="004E4CF1">
              <w:rPr>
                <w:rFonts w:asciiTheme="majorHAnsi" w:hAnsiTheme="majorHAnsi"/>
                <w:sz w:val="20"/>
                <w:szCs w:val="20"/>
              </w:rPr>
              <w:br/>
              <w:t>+ 4.7%</w:t>
            </w:r>
          </w:p>
        </w:tc>
      </w:tr>
      <w:tr w:rsidR="004E4CF1" w:rsidRPr="004E4CF1" w:rsidTr="000A1DAC">
        <w:trPr>
          <w:tblCellSpacing w:w="5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</w:tcPr>
          <w:p w:rsidR="004E4CF1" w:rsidRPr="004E4CF1" w:rsidRDefault="004E4CF1" w:rsidP="000A1D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E4CF1">
              <w:rPr>
                <w:rFonts w:asciiTheme="majorHAnsi" w:hAnsiTheme="majorHAnsi"/>
                <w:sz w:val="20"/>
                <w:szCs w:val="20"/>
              </w:rPr>
              <w:t>Units</w:t>
            </w:r>
          </w:p>
        </w:tc>
        <w:tc>
          <w:tcPr>
            <w:tcW w:w="1865" w:type="dxa"/>
          </w:tcPr>
          <w:p w:rsidR="004E4CF1" w:rsidRPr="004E4CF1" w:rsidRDefault="004E4CF1" w:rsidP="000A1D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4E4CF1">
              <w:rPr>
                <w:rFonts w:asciiTheme="majorHAnsi" w:hAnsiTheme="majorHAnsi"/>
                <w:sz w:val="20"/>
                <w:szCs w:val="20"/>
              </w:rPr>
              <w:t>$310</w:t>
            </w:r>
            <w:r w:rsidRPr="004E4CF1">
              <w:rPr>
                <w:rFonts w:asciiTheme="majorHAnsi" w:hAnsiTheme="majorHAnsi"/>
                <w:sz w:val="20"/>
                <w:szCs w:val="20"/>
              </w:rPr>
              <w:br/>
              <w:t>+ 3.3%</w:t>
            </w:r>
          </w:p>
        </w:tc>
        <w:tc>
          <w:tcPr>
            <w:tcW w:w="1884" w:type="dxa"/>
          </w:tcPr>
          <w:p w:rsidR="004E4CF1" w:rsidRPr="004E4CF1" w:rsidRDefault="004E4CF1" w:rsidP="000A1D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4E4CF1">
              <w:rPr>
                <w:rFonts w:asciiTheme="majorHAnsi" w:hAnsiTheme="majorHAnsi"/>
                <w:sz w:val="20"/>
                <w:szCs w:val="20"/>
              </w:rPr>
              <w:t>$370</w:t>
            </w:r>
            <w:r w:rsidRPr="004E4CF1">
              <w:rPr>
                <w:rFonts w:asciiTheme="majorHAnsi" w:hAnsiTheme="majorHAnsi"/>
                <w:sz w:val="20"/>
                <w:szCs w:val="20"/>
              </w:rPr>
              <w:br/>
              <w:t>+ 2.8%</w:t>
            </w:r>
            <w:r w:rsidRPr="004E4CF1">
              <w:rPr>
                <w:rFonts w:asciiTheme="majorHAnsi" w:hAnsiTheme="majorHAnsi"/>
                <w:sz w:val="20"/>
                <w:szCs w:val="20"/>
              </w:rPr>
              <w:tab/>
            </w:r>
          </w:p>
        </w:tc>
        <w:tc>
          <w:tcPr>
            <w:tcW w:w="1885" w:type="dxa"/>
          </w:tcPr>
          <w:p w:rsidR="004E4CF1" w:rsidRPr="004E4CF1" w:rsidRDefault="004E4CF1" w:rsidP="000A1D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4E4CF1">
              <w:rPr>
                <w:rFonts w:asciiTheme="majorHAnsi" w:hAnsiTheme="majorHAnsi"/>
                <w:sz w:val="20"/>
                <w:szCs w:val="20"/>
              </w:rPr>
              <w:t>$280</w:t>
            </w:r>
            <w:r w:rsidRPr="004E4CF1">
              <w:rPr>
                <w:rFonts w:asciiTheme="majorHAnsi" w:hAnsiTheme="majorHAnsi"/>
                <w:sz w:val="20"/>
                <w:szCs w:val="20"/>
              </w:rPr>
              <w:br/>
              <w:t>No Change</w:t>
            </w:r>
            <w:r w:rsidRPr="004E4CF1">
              <w:rPr>
                <w:rFonts w:asciiTheme="majorHAnsi" w:hAnsiTheme="majorHAnsi"/>
                <w:sz w:val="20"/>
                <w:szCs w:val="20"/>
              </w:rPr>
              <w:tab/>
            </w:r>
          </w:p>
        </w:tc>
        <w:tc>
          <w:tcPr>
            <w:tcW w:w="1901" w:type="dxa"/>
          </w:tcPr>
          <w:p w:rsidR="004E4CF1" w:rsidRPr="004E4CF1" w:rsidRDefault="004E4CF1" w:rsidP="000A1D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4E4CF1">
              <w:rPr>
                <w:rFonts w:asciiTheme="majorHAnsi" w:hAnsiTheme="majorHAnsi"/>
                <w:sz w:val="20"/>
                <w:szCs w:val="20"/>
              </w:rPr>
              <w:t>$340</w:t>
            </w:r>
            <w:r w:rsidRPr="004E4CF1">
              <w:rPr>
                <w:rFonts w:asciiTheme="majorHAnsi" w:hAnsiTheme="majorHAnsi"/>
                <w:sz w:val="20"/>
                <w:szCs w:val="20"/>
              </w:rPr>
              <w:br/>
              <w:t>+ 6.3%</w:t>
            </w:r>
          </w:p>
        </w:tc>
      </w:tr>
    </w:tbl>
    <w:p w:rsidR="004E4CF1" w:rsidRPr="004E4CF1" w:rsidRDefault="004E4CF1" w:rsidP="004E4CF1">
      <w:pPr>
        <w:pStyle w:val="Body"/>
        <w:rPr>
          <w:rFonts w:asciiTheme="majorHAnsi" w:hAnsiTheme="majorHAnsi"/>
          <w:i/>
          <w:sz w:val="20"/>
          <w:szCs w:val="20"/>
        </w:rPr>
      </w:pPr>
    </w:p>
    <w:p w:rsidR="006E1AA6" w:rsidRPr="004E4CF1" w:rsidRDefault="006E1AA6" w:rsidP="009B6A01">
      <w:pPr>
        <w:jc w:val="both"/>
        <w:rPr>
          <w:rFonts w:asciiTheme="majorHAnsi" w:hAnsiTheme="majorHAnsi"/>
          <w:sz w:val="20"/>
          <w:szCs w:val="20"/>
        </w:rPr>
      </w:pPr>
      <w:r w:rsidRPr="004E4CF1">
        <w:rPr>
          <w:rFonts w:asciiTheme="majorHAnsi" w:hAnsiTheme="majorHAnsi"/>
          <w:sz w:val="20"/>
          <w:szCs w:val="20"/>
        </w:rPr>
        <w:t xml:space="preserve">  </w:t>
      </w:r>
    </w:p>
    <w:p w:rsidR="006E1AA6" w:rsidRPr="004E4CF1" w:rsidRDefault="004E4CF1" w:rsidP="004E4CF1">
      <w:pPr>
        <w:jc w:val="center"/>
        <w:rPr>
          <w:rFonts w:asciiTheme="majorHAnsi" w:hAnsiTheme="majorHAnsi"/>
          <w:b/>
          <w:sz w:val="22"/>
          <w:szCs w:val="22"/>
        </w:rPr>
      </w:pPr>
      <w:r w:rsidRPr="004E4CF1">
        <w:rPr>
          <w:rFonts w:asciiTheme="majorHAnsi" w:hAnsiTheme="majorHAnsi"/>
          <w:b/>
          <w:sz w:val="22"/>
          <w:szCs w:val="22"/>
        </w:rPr>
        <w:t>-</w:t>
      </w:r>
      <w:proofErr w:type="gramStart"/>
      <w:r w:rsidRPr="004E4CF1">
        <w:rPr>
          <w:rFonts w:asciiTheme="majorHAnsi" w:hAnsiTheme="majorHAnsi"/>
          <w:b/>
          <w:sz w:val="22"/>
          <w:szCs w:val="22"/>
        </w:rPr>
        <w:t>ends</w:t>
      </w:r>
      <w:proofErr w:type="gramEnd"/>
      <w:r w:rsidRPr="004E4CF1">
        <w:rPr>
          <w:rFonts w:asciiTheme="majorHAnsi" w:hAnsiTheme="majorHAnsi"/>
          <w:b/>
          <w:sz w:val="22"/>
          <w:szCs w:val="22"/>
        </w:rPr>
        <w:t>-</w:t>
      </w:r>
    </w:p>
    <w:p w:rsidR="009B6A01" w:rsidRPr="004E4CF1" w:rsidRDefault="009B6A01" w:rsidP="009B6A01">
      <w:pPr>
        <w:jc w:val="both"/>
        <w:rPr>
          <w:rFonts w:asciiTheme="majorHAnsi" w:hAnsiTheme="majorHAnsi"/>
          <w:sz w:val="22"/>
          <w:szCs w:val="22"/>
        </w:rPr>
      </w:pPr>
    </w:p>
    <w:p w:rsidR="004E4CF1" w:rsidRPr="004E4CF1" w:rsidRDefault="004E4CF1" w:rsidP="004E4CF1">
      <w:pPr>
        <w:rPr>
          <w:rFonts w:asciiTheme="majorHAnsi" w:hAnsiTheme="majorHAnsi" w:cstheme="minorHAnsi"/>
          <w:b/>
          <w:sz w:val="22"/>
          <w:szCs w:val="22"/>
        </w:rPr>
      </w:pPr>
      <w:r w:rsidRPr="004E4CF1">
        <w:rPr>
          <w:rFonts w:asciiTheme="majorHAnsi" w:hAnsiTheme="majorHAnsi" w:cstheme="minorHAnsi"/>
          <w:b/>
          <w:sz w:val="22"/>
          <w:szCs w:val="22"/>
        </w:rPr>
        <w:t>MORE INFORMATION</w:t>
      </w:r>
    </w:p>
    <w:p w:rsidR="004E4CF1" w:rsidRPr="004E4CF1" w:rsidRDefault="004E4CF1" w:rsidP="004E4CF1">
      <w:pPr>
        <w:pStyle w:val="ListParagraph"/>
        <w:rPr>
          <w:rFonts w:asciiTheme="majorHAnsi" w:hAnsiTheme="majorHAnsi" w:cstheme="minorHAnsi"/>
          <w:sz w:val="22"/>
          <w:szCs w:val="22"/>
        </w:rPr>
      </w:pPr>
    </w:p>
    <w:p w:rsidR="004E4CF1" w:rsidRPr="004E4CF1" w:rsidRDefault="004E4CF1" w:rsidP="004E4CF1">
      <w:pPr>
        <w:rPr>
          <w:rFonts w:asciiTheme="majorHAnsi" w:hAnsiTheme="majorHAnsi"/>
          <w:b/>
          <w:sz w:val="22"/>
          <w:szCs w:val="22"/>
        </w:rPr>
      </w:pPr>
      <w:r w:rsidRPr="004E4CF1">
        <w:rPr>
          <w:rFonts w:asciiTheme="majorHAnsi" w:hAnsiTheme="majorHAnsi" w:cstheme="minorHAnsi"/>
          <w:b/>
          <w:sz w:val="22"/>
          <w:szCs w:val="22"/>
        </w:rPr>
        <w:t xml:space="preserve">About the </w:t>
      </w:r>
      <w:r w:rsidRPr="004E4CF1">
        <w:rPr>
          <w:rFonts w:asciiTheme="majorHAnsi" w:hAnsiTheme="majorHAnsi"/>
          <w:b/>
          <w:sz w:val="22"/>
          <w:szCs w:val="22"/>
        </w:rPr>
        <w:t xml:space="preserve">Trade Me Property Rental Price Index: </w:t>
      </w:r>
    </w:p>
    <w:p w:rsidR="004E4CF1" w:rsidRPr="004E4CF1" w:rsidRDefault="004E4CF1" w:rsidP="004E4CF1">
      <w:pPr>
        <w:pStyle w:val="Body"/>
        <w:numPr>
          <w:ilvl w:val="0"/>
          <w:numId w:val="1"/>
        </w:numPr>
        <w:rPr>
          <w:rFonts w:asciiTheme="majorHAnsi" w:hAnsiTheme="majorHAnsi"/>
        </w:rPr>
      </w:pPr>
      <w:r w:rsidRPr="004E4CF1">
        <w:rPr>
          <w:rFonts w:asciiTheme="majorHAnsi" w:hAnsiTheme="majorHAnsi"/>
        </w:rPr>
        <w:t>The Index provides a timely and comprehensive monthly insight into the New Zealand rental market. It covers trends in rents by type and size of property across New Zealand.</w:t>
      </w:r>
    </w:p>
    <w:p w:rsidR="004E4CF1" w:rsidRPr="004E4CF1" w:rsidRDefault="009338CE" w:rsidP="004E4CF1">
      <w:pPr>
        <w:pStyle w:val="Body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P</w:t>
      </w:r>
      <w:r w:rsidR="004E4CF1" w:rsidRPr="004E4CF1">
        <w:rPr>
          <w:rFonts w:asciiTheme="majorHAnsi" w:hAnsiTheme="majorHAnsi"/>
        </w:rPr>
        <w:t xml:space="preserve">roduced from data on properties rented in the month by both property managers and private landlords. </w:t>
      </w:r>
    </w:p>
    <w:p w:rsidR="004E4CF1" w:rsidRDefault="004E4CF1" w:rsidP="004E4CF1">
      <w:pPr>
        <w:pStyle w:val="Body"/>
        <w:numPr>
          <w:ilvl w:val="0"/>
          <w:numId w:val="1"/>
        </w:numPr>
        <w:rPr>
          <w:rFonts w:asciiTheme="majorHAnsi" w:hAnsiTheme="majorHAnsi"/>
        </w:rPr>
      </w:pPr>
      <w:r w:rsidRPr="004E4CF1">
        <w:rPr>
          <w:rFonts w:asciiTheme="majorHAnsi" w:hAnsiTheme="majorHAnsi"/>
        </w:rPr>
        <w:lastRenderedPageBreak/>
        <w:t>It is calculated based on median rent.</w:t>
      </w:r>
    </w:p>
    <w:p w:rsidR="0033475D" w:rsidRPr="009338CE" w:rsidRDefault="004E4CF1" w:rsidP="009338CE">
      <w:pPr>
        <w:pStyle w:val="Body"/>
        <w:numPr>
          <w:ilvl w:val="0"/>
          <w:numId w:val="1"/>
        </w:numPr>
        <w:rPr>
          <w:rFonts w:asciiTheme="majorHAnsi" w:hAnsiTheme="majorHAnsi"/>
        </w:rPr>
      </w:pPr>
      <w:r w:rsidRPr="009338CE">
        <w:rPr>
          <w:rFonts w:asciiTheme="majorHAnsi" w:hAnsiTheme="majorHAnsi"/>
        </w:rPr>
        <w:t xml:space="preserve">URL: </w:t>
      </w:r>
      <w:hyperlink r:id="rId11" w:history="1">
        <w:r w:rsidRPr="009338CE">
          <w:rPr>
            <w:rStyle w:val="Hyperlink"/>
            <w:rFonts w:asciiTheme="majorHAnsi" w:hAnsiTheme="majorHAnsi"/>
          </w:rPr>
          <w:t>trademe.co.nz/property/price-index/for-rent</w:t>
        </w:r>
      </w:hyperlink>
    </w:p>
    <w:sectPr w:rsidR="0033475D" w:rsidRPr="009338CE" w:rsidSect="009338C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72F" w:rsidRDefault="001E372F" w:rsidP="009B6A01">
      <w:r>
        <w:separator/>
      </w:r>
    </w:p>
  </w:endnote>
  <w:endnote w:type="continuationSeparator" w:id="0">
    <w:p w:rsidR="001E372F" w:rsidRDefault="001E372F" w:rsidP="009B6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39C" w:rsidRDefault="004633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39C" w:rsidRDefault="004633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39C" w:rsidRDefault="004633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72F" w:rsidRDefault="001E372F" w:rsidP="009B6A01">
      <w:r>
        <w:separator/>
      </w:r>
    </w:p>
  </w:footnote>
  <w:footnote w:type="continuationSeparator" w:id="0">
    <w:p w:rsidR="001E372F" w:rsidRDefault="001E372F" w:rsidP="009B6A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39C" w:rsidRDefault="004633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39C" w:rsidRDefault="0046339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39C" w:rsidRDefault="004633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9695B"/>
    <w:multiLevelType w:val="hybridMultilevel"/>
    <w:tmpl w:val="49FE0B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A6"/>
    <w:rsid w:val="000344B3"/>
    <w:rsid w:val="000411BA"/>
    <w:rsid w:val="000676D7"/>
    <w:rsid w:val="001A34E4"/>
    <w:rsid w:val="001E372F"/>
    <w:rsid w:val="00311826"/>
    <w:rsid w:val="0033475D"/>
    <w:rsid w:val="0046339C"/>
    <w:rsid w:val="004E4CF1"/>
    <w:rsid w:val="0054759E"/>
    <w:rsid w:val="006178E4"/>
    <w:rsid w:val="00691154"/>
    <w:rsid w:val="006E1AA6"/>
    <w:rsid w:val="00850A17"/>
    <w:rsid w:val="009338CE"/>
    <w:rsid w:val="009B6A01"/>
    <w:rsid w:val="00A12A17"/>
    <w:rsid w:val="00A33F41"/>
    <w:rsid w:val="00C40D82"/>
    <w:rsid w:val="00C5272C"/>
    <w:rsid w:val="00E36EF7"/>
    <w:rsid w:val="00F53992"/>
    <w:rsid w:val="00F854A7"/>
    <w:rsid w:val="00FA50AE"/>
    <w:rsid w:val="00FA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6A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6A01"/>
  </w:style>
  <w:style w:type="paragraph" w:styleId="Footer">
    <w:name w:val="footer"/>
    <w:basedOn w:val="Normal"/>
    <w:link w:val="FooterChar"/>
    <w:uiPriority w:val="99"/>
    <w:unhideWhenUsed/>
    <w:rsid w:val="009B6A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6A01"/>
  </w:style>
  <w:style w:type="character" w:styleId="CommentReference">
    <w:name w:val="annotation reference"/>
    <w:basedOn w:val="DefaultParagraphFont"/>
    <w:uiPriority w:val="99"/>
    <w:semiHidden/>
    <w:unhideWhenUsed/>
    <w:rsid w:val="00C40D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D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D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D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D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D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D82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4E4CF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eastAsia="en-NZ"/>
    </w:rPr>
  </w:style>
  <w:style w:type="table" w:styleId="LightShading-Accent1">
    <w:name w:val="Light Shading Accent 1"/>
    <w:basedOn w:val="TableNormal"/>
    <w:uiPriority w:val="60"/>
    <w:rsid w:val="004E4CF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color w:val="365F91" w:themeColor="accent1" w:themeShade="BF"/>
      <w:sz w:val="20"/>
      <w:szCs w:val="20"/>
      <w:bdr w:val="nil"/>
      <w:lang w:val="en-NZ" w:eastAsia="en-NZ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rsid w:val="004E4CF1"/>
    <w:rPr>
      <w:u w:val="single"/>
    </w:rPr>
  </w:style>
  <w:style w:type="paragraph" w:styleId="ListParagraph">
    <w:name w:val="List Paragraph"/>
    <w:basedOn w:val="Normal"/>
    <w:uiPriority w:val="34"/>
    <w:qFormat/>
    <w:rsid w:val="004E4CF1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Times New Roman" w:eastAsia="Arial Unicode MS" w:hAnsi="Times New Roman" w:cs="Times New Roman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rademe.co.nz/property/price-index/for-ren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gi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2014-12-12T21:57:00Z</dcterms:created>
  <dcterms:modified xsi:type="dcterms:W3CDTF">2014-12-12T21:57:00Z</dcterms:modified>
</cp:coreProperties>
</file>